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418D8E66"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4A2BD7">
        <w:rPr>
          <w:rStyle w:val="Strong"/>
          <w:b/>
          <w:bCs w:val="0"/>
        </w:rPr>
        <w:t>22-128</w:t>
      </w:r>
      <w:r w:rsidR="004E45B0">
        <w:rPr>
          <w:rStyle w:val="Strong"/>
          <w:b/>
          <w:bCs w:val="0"/>
        </w:rPr>
        <w:t>/RFX# 316000</w:t>
      </w:r>
      <w:r w:rsidR="00942C5F">
        <w:rPr>
          <w:rStyle w:val="Strong"/>
          <w:b/>
          <w:bCs w:val="0"/>
        </w:rPr>
        <w:t>5459</w:t>
      </w:r>
      <w:r w:rsidRPr="005F5D6F">
        <w:br/>
        <w:t>Opening Date:</w:t>
      </w:r>
      <w:r w:rsidRPr="005F5D6F">
        <w:rPr>
          <w:rStyle w:val="Strong"/>
          <w:b/>
          <w:bCs w:val="0"/>
        </w:rPr>
        <w:t xml:space="preserve">  </w:t>
      </w:r>
      <w:r w:rsidR="004E45B0">
        <w:rPr>
          <w:rStyle w:val="Strong"/>
          <w:b/>
          <w:bCs w:val="0"/>
        </w:rPr>
        <w:t>October 18, 2022 @2:00 p.m.</w:t>
      </w:r>
      <w:r w:rsidRPr="005F5D6F">
        <w:br/>
      </w:r>
      <w:r w:rsidR="005F5D6F" w:rsidRPr="005F5D6F">
        <w:t>Description</w:t>
      </w:r>
      <w:r w:rsidRPr="005F5D6F">
        <w:t>:</w:t>
      </w:r>
      <w:r w:rsidRPr="005F5D6F">
        <w:rPr>
          <w:rStyle w:val="Strong"/>
          <w:b/>
          <w:bCs w:val="0"/>
        </w:rPr>
        <w:t xml:space="preserve">  </w:t>
      </w:r>
      <w:r w:rsidR="004A2BD7">
        <w:rPr>
          <w:rStyle w:val="Strong"/>
          <w:b/>
          <w:bCs w:val="0"/>
        </w:rPr>
        <w:t>Center Display</w:t>
      </w:r>
      <w:r w:rsidR="004E45B0">
        <w:rPr>
          <w:rStyle w:val="Strong"/>
          <w:b/>
          <w:bCs w:val="0"/>
        </w:rPr>
        <w:t xml:space="preserve"> Re-Bid</w:t>
      </w:r>
    </w:p>
    <w:p w14:paraId="429EBB0F" w14:textId="77294E0A" w:rsidR="00392C30"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p>
    <w:p w14:paraId="458557E1" w14:textId="77777777" w:rsidR="00B84F17" w:rsidRPr="00B84F17" w:rsidRDefault="00B84F17" w:rsidP="00B84F17"/>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41E0235F" w:rsidR="00601469" w:rsidRPr="00111BDB" w:rsidRDefault="004A2BD7" w:rsidP="00111BDB">
            <w:pPr>
              <w:jc w:val="center"/>
              <w:rPr>
                <w:sz w:val="24"/>
                <w:szCs w:val="24"/>
              </w:rPr>
            </w:pPr>
            <w:r>
              <w:rPr>
                <w:sz w:val="24"/>
                <w:szCs w:val="24"/>
              </w:rPr>
              <w:t>1</w:t>
            </w:r>
          </w:p>
        </w:tc>
        <w:tc>
          <w:tcPr>
            <w:tcW w:w="1350" w:type="dxa"/>
            <w:vAlign w:val="center"/>
          </w:tcPr>
          <w:p w14:paraId="6928AB51" w14:textId="4EB9BD04" w:rsidR="00601469" w:rsidRPr="00111BDB" w:rsidRDefault="004A2BD7" w:rsidP="00111BDB">
            <w:pPr>
              <w:jc w:val="center"/>
              <w:rPr>
                <w:sz w:val="24"/>
                <w:szCs w:val="24"/>
              </w:rPr>
            </w:pPr>
            <w:r>
              <w:rPr>
                <w:sz w:val="24"/>
                <w:szCs w:val="24"/>
              </w:rPr>
              <w:t>1</w:t>
            </w:r>
          </w:p>
        </w:tc>
        <w:tc>
          <w:tcPr>
            <w:tcW w:w="5321" w:type="dxa"/>
            <w:vAlign w:val="center"/>
          </w:tcPr>
          <w:p w14:paraId="418D22E2" w14:textId="20A03872" w:rsidR="004A2BD7" w:rsidRDefault="004A2BD7" w:rsidP="00B84F17">
            <w:r>
              <w:t xml:space="preserve">Center Display </w:t>
            </w:r>
          </w:p>
          <w:p w14:paraId="5E80166F" w14:textId="77777777" w:rsidR="004A2BD7" w:rsidRDefault="004A2BD7" w:rsidP="00B84F17">
            <w:r>
              <w:t xml:space="preserve">Center display to be placed in the center of the lab to showcase engine components. This case needs to have multiple levels with individual lights to highlight and display engine components. </w:t>
            </w:r>
          </w:p>
          <w:p w14:paraId="72E99476" w14:textId="77777777" w:rsidR="004A2BD7" w:rsidRDefault="004A2BD7" w:rsidP="00B84F17">
            <w:r>
              <w:t>Interfacing software needs to be integrated with the display that allows users to highlight items in the display and give a description of the parts within the display. This interface needs to have a user-friendly tablet style interface.</w:t>
            </w:r>
          </w:p>
          <w:p w14:paraId="05F1618A" w14:textId="77777777" w:rsidR="004A2BD7" w:rsidRDefault="004A2BD7" w:rsidP="00B84F17">
            <w:r>
              <w:t>Display needs to have signage that showcases the PACCAR company image/brand. This image a branding needs to be back lit. Approximately, 3’ tall around the display.</w:t>
            </w:r>
          </w:p>
          <w:p w14:paraId="1837A98D" w14:textId="77777777" w:rsidR="004A2BD7" w:rsidRDefault="004A2BD7" w:rsidP="00B84F17">
            <w:r>
              <w:t>Estimated display size – 12’ x 4’x 8’.</w:t>
            </w:r>
          </w:p>
          <w:p w14:paraId="2A704577" w14:textId="77777777" w:rsidR="004A2BD7" w:rsidRDefault="004A2BD7" w:rsidP="00B84F17">
            <w:r>
              <w:t xml:space="preserve">The glass for the display case is to be 5’ tall all around and allow access to interchange out parts. </w:t>
            </w:r>
          </w:p>
          <w:p w14:paraId="3025A565" w14:textId="77777777" w:rsidR="004A2BD7" w:rsidRDefault="004A2BD7" w:rsidP="00B84F17">
            <w:r>
              <w:t xml:space="preserve">Quote needs to include installing of all above items. </w:t>
            </w:r>
          </w:p>
          <w:p w14:paraId="58412E19" w14:textId="77777777" w:rsidR="00601469" w:rsidRPr="00111BDB" w:rsidRDefault="00601469" w:rsidP="000A4E00">
            <w:pPr>
              <w:rPr>
                <w:sz w:val="24"/>
                <w:szCs w:val="24"/>
              </w:rPr>
            </w:pP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r w:rsidR="00111BDB" w:rsidRPr="00111BDB" w14:paraId="59995257" w14:textId="77777777" w:rsidTr="00111BDB">
        <w:trPr>
          <w:trHeight w:val="576"/>
        </w:trPr>
        <w:tc>
          <w:tcPr>
            <w:tcW w:w="900" w:type="dxa"/>
            <w:vAlign w:val="center"/>
          </w:tcPr>
          <w:p w14:paraId="13E3F80A" w14:textId="5523FD02" w:rsidR="00601469" w:rsidRPr="00111BDB" w:rsidRDefault="004A2BD7" w:rsidP="00111BDB">
            <w:pPr>
              <w:jc w:val="center"/>
              <w:rPr>
                <w:sz w:val="24"/>
                <w:szCs w:val="24"/>
              </w:rPr>
            </w:pPr>
            <w:r>
              <w:rPr>
                <w:sz w:val="24"/>
                <w:szCs w:val="24"/>
              </w:rPr>
              <w:t>2</w:t>
            </w:r>
          </w:p>
        </w:tc>
        <w:tc>
          <w:tcPr>
            <w:tcW w:w="1350" w:type="dxa"/>
            <w:vAlign w:val="center"/>
          </w:tcPr>
          <w:p w14:paraId="2BAF43C4" w14:textId="60AE27B1" w:rsidR="00601469" w:rsidRPr="00111BDB" w:rsidRDefault="004A2BD7" w:rsidP="00111BDB">
            <w:pPr>
              <w:jc w:val="center"/>
              <w:rPr>
                <w:sz w:val="24"/>
                <w:szCs w:val="24"/>
              </w:rPr>
            </w:pPr>
            <w:r>
              <w:rPr>
                <w:sz w:val="24"/>
                <w:szCs w:val="24"/>
              </w:rPr>
              <w:t>1</w:t>
            </w:r>
          </w:p>
        </w:tc>
        <w:tc>
          <w:tcPr>
            <w:tcW w:w="5321" w:type="dxa"/>
            <w:vAlign w:val="center"/>
          </w:tcPr>
          <w:p w14:paraId="58831E6E" w14:textId="77777777" w:rsidR="004A2BD7" w:rsidRDefault="004A2BD7" w:rsidP="00B84F17">
            <w:r>
              <w:t>Room Lighting Enhancement</w:t>
            </w:r>
          </w:p>
          <w:p w14:paraId="393341CC" w14:textId="77777777" w:rsidR="004A2BD7" w:rsidRDefault="004A2BD7" w:rsidP="00B84F17">
            <w:r>
              <w:t>LED Lighting fixtures that are black hexagon shaped acoustic paneling</w:t>
            </w:r>
          </w:p>
          <w:p w14:paraId="7E6FEECC" w14:textId="77777777" w:rsidR="004A2BD7" w:rsidRDefault="004A2BD7" w:rsidP="00B84F17">
            <w:r>
              <w:t>Estimated 42” diameter panels retrofitting with LED lights around perimeter paneling for backlighting</w:t>
            </w:r>
          </w:p>
          <w:p w14:paraId="2728F116" w14:textId="77777777" w:rsidR="004A2BD7" w:rsidRDefault="004A2BD7" w:rsidP="00B84F17">
            <w:r>
              <w:lastRenderedPageBreak/>
              <w:t>Paneling and lighting will need custom framing attached the ceiling to support this equipment. This frame needs to be black to match the color of the acoustic paneling.</w:t>
            </w:r>
          </w:p>
          <w:p w14:paraId="68B59EE6" w14:textId="77777777" w:rsidR="004A2BD7" w:rsidRDefault="004A2BD7" w:rsidP="00B84F17">
            <w:r>
              <w:t>Room size is 42’x 36’.</w:t>
            </w:r>
          </w:p>
          <w:p w14:paraId="1A9DC974" w14:textId="77777777" w:rsidR="004A2BD7" w:rsidRDefault="004A2BD7" w:rsidP="00B84F17">
            <w:r>
              <w:t xml:space="preserve">Quote needs to include installing of all above items. </w:t>
            </w:r>
          </w:p>
          <w:p w14:paraId="7DC78F84" w14:textId="77777777" w:rsidR="00601469" w:rsidRPr="00111BDB" w:rsidRDefault="00601469" w:rsidP="000A4E00">
            <w:pPr>
              <w:rPr>
                <w:sz w:val="24"/>
                <w:szCs w:val="24"/>
              </w:rPr>
            </w:pPr>
          </w:p>
        </w:tc>
        <w:tc>
          <w:tcPr>
            <w:tcW w:w="1704" w:type="dxa"/>
            <w:vAlign w:val="center"/>
          </w:tcPr>
          <w:p w14:paraId="6BD9A892" w14:textId="77777777" w:rsidR="00601469" w:rsidRPr="00111BDB" w:rsidRDefault="00601469" w:rsidP="00111BDB">
            <w:pPr>
              <w:jc w:val="center"/>
              <w:rPr>
                <w:sz w:val="24"/>
                <w:szCs w:val="24"/>
              </w:rPr>
            </w:pPr>
          </w:p>
        </w:tc>
        <w:tc>
          <w:tcPr>
            <w:tcW w:w="1615" w:type="dxa"/>
            <w:vAlign w:val="center"/>
          </w:tcPr>
          <w:p w14:paraId="1824DF5B" w14:textId="77777777" w:rsidR="00601469" w:rsidRPr="00111BDB" w:rsidRDefault="00601469" w:rsidP="00111BDB">
            <w:pPr>
              <w:jc w:val="center"/>
              <w:rPr>
                <w:sz w:val="24"/>
                <w:szCs w:val="24"/>
              </w:rPr>
            </w:pPr>
          </w:p>
        </w:tc>
      </w:tr>
      <w:tr w:rsidR="00111BDB" w:rsidRPr="00111BDB" w14:paraId="0CF107CD" w14:textId="77777777" w:rsidTr="00111BDB">
        <w:trPr>
          <w:trHeight w:val="576"/>
        </w:trPr>
        <w:tc>
          <w:tcPr>
            <w:tcW w:w="900" w:type="dxa"/>
            <w:vAlign w:val="center"/>
          </w:tcPr>
          <w:p w14:paraId="69F8BADB" w14:textId="5BFC37AE" w:rsidR="00601469" w:rsidRPr="00111BDB" w:rsidRDefault="004A2BD7" w:rsidP="00111BDB">
            <w:pPr>
              <w:jc w:val="center"/>
              <w:rPr>
                <w:sz w:val="24"/>
                <w:szCs w:val="24"/>
              </w:rPr>
            </w:pPr>
            <w:r>
              <w:rPr>
                <w:sz w:val="24"/>
                <w:szCs w:val="24"/>
              </w:rPr>
              <w:t>3</w:t>
            </w:r>
          </w:p>
        </w:tc>
        <w:tc>
          <w:tcPr>
            <w:tcW w:w="1350" w:type="dxa"/>
            <w:vAlign w:val="center"/>
          </w:tcPr>
          <w:p w14:paraId="062548F1" w14:textId="75F0ECD8" w:rsidR="00601469" w:rsidRPr="00111BDB" w:rsidRDefault="004A2BD7" w:rsidP="00111BDB">
            <w:pPr>
              <w:jc w:val="center"/>
              <w:rPr>
                <w:sz w:val="24"/>
                <w:szCs w:val="24"/>
              </w:rPr>
            </w:pPr>
            <w:r>
              <w:rPr>
                <w:sz w:val="24"/>
                <w:szCs w:val="24"/>
              </w:rPr>
              <w:t>1</w:t>
            </w:r>
          </w:p>
        </w:tc>
        <w:tc>
          <w:tcPr>
            <w:tcW w:w="5321" w:type="dxa"/>
            <w:vAlign w:val="center"/>
          </w:tcPr>
          <w:p w14:paraId="1C41A7B6" w14:textId="77777777" w:rsidR="004A2BD7" w:rsidRDefault="004A2BD7" w:rsidP="00B84F17">
            <w:r>
              <w:t>Product Stands</w:t>
            </w:r>
          </w:p>
          <w:p w14:paraId="1DCBAF76" w14:textId="77777777" w:rsidR="004A2BD7" w:rsidRDefault="004A2BD7" w:rsidP="00B84F17">
            <w:r>
              <w:t>Design and installation of two stands that will support an PACCAR engine and engine block.</w:t>
            </w:r>
          </w:p>
          <w:p w14:paraId="2A16FA24" w14:textId="77777777" w:rsidR="004A2BD7" w:rsidRDefault="004A2BD7" w:rsidP="00B84F17">
            <w:r>
              <w:t xml:space="preserve">Stands need to be metal and include PACCAR images and branding around the stand of the engine. </w:t>
            </w:r>
          </w:p>
          <w:p w14:paraId="5F6BEFCF" w14:textId="77777777" w:rsidR="00601469" w:rsidRPr="00111BDB" w:rsidRDefault="00601469" w:rsidP="000A4E00">
            <w:pPr>
              <w:rPr>
                <w:sz w:val="24"/>
                <w:szCs w:val="24"/>
              </w:rPr>
            </w:pPr>
          </w:p>
        </w:tc>
        <w:tc>
          <w:tcPr>
            <w:tcW w:w="1704" w:type="dxa"/>
            <w:vAlign w:val="center"/>
          </w:tcPr>
          <w:p w14:paraId="4ADBC31F" w14:textId="77777777" w:rsidR="00601469" w:rsidRPr="00111BDB" w:rsidRDefault="00601469" w:rsidP="00111BDB">
            <w:pPr>
              <w:jc w:val="center"/>
              <w:rPr>
                <w:sz w:val="24"/>
                <w:szCs w:val="24"/>
              </w:rPr>
            </w:pPr>
          </w:p>
        </w:tc>
        <w:tc>
          <w:tcPr>
            <w:tcW w:w="1615" w:type="dxa"/>
            <w:vAlign w:val="center"/>
          </w:tcPr>
          <w:p w14:paraId="6BD95DD1" w14:textId="77777777" w:rsidR="00601469" w:rsidRPr="00111BDB" w:rsidRDefault="00601469" w:rsidP="00111BDB">
            <w:pPr>
              <w:jc w:val="center"/>
              <w:rPr>
                <w:sz w:val="24"/>
                <w:szCs w:val="24"/>
              </w:rPr>
            </w:pPr>
          </w:p>
        </w:tc>
      </w:tr>
      <w:tr w:rsidR="00111BDB" w:rsidRPr="00111BDB" w14:paraId="7710D943" w14:textId="77777777" w:rsidTr="00111BDB">
        <w:trPr>
          <w:trHeight w:val="576"/>
        </w:trPr>
        <w:tc>
          <w:tcPr>
            <w:tcW w:w="900" w:type="dxa"/>
            <w:vAlign w:val="center"/>
          </w:tcPr>
          <w:p w14:paraId="15C4F41B" w14:textId="77777777" w:rsidR="00601469" w:rsidRPr="00111BDB" w:rsidRDefault="00601469" w:rsidP="00111BDB">
            <w:pPr>
              <w:jc w:val="center"/>
              <w:rPr>
                <w:sz w:val="24"/>
                <w:szCs w:val="24"/>
              </w:rPr>
            </w:pPr>
          </w:p>
        </w:tc>
        <w:tc>
          <w:tcPr>
            <w:tcW w:w="1350" w:type="dxa"/>
            <w:vAlign w:val="center"/>
          </w:tcPr>
          <w:p w14:paraId="3FD55EDD" w14:textId="77777777" w:rsidR="00601469" w:rsidRPr="00111BDB" w:rsidRDefault="00601469" w:rsidP="00111BDB">
            <w:pPr>
              <w:jc w:val="center"/>
              <w:rPr>
                <w:sz w:val="24"/>
                <w:szCs w:val="24"/>
              </w:rPr>
            </w:pPr>
          </w:p>
        </w:tc>
        <w:tc>
          <w:tcPr>
            <w:tcW w:w="5321" w:type="dxa"/>
            <w:vAlign w:val="center"/>
          </w:tcPr>
          <w:p w14:paraId="77A520D2" w14:textId="0D31CD49" w:rsidR="00601469" w:rsidRPr="00111BDB" w:rsidRDefault="004A2BD7" w:rsidP="004A2BD7">
            <w:pPr>
              <w:jc w:val="right"/>
              <w:rPr>
                <w:sz w:val="24"/>
                <w:szCs w:val="24"/>
              </w:rPr>
            </w:pPr>
            <w:r>
              <w:rPr>
                <w:sz w:val="24"/>
                <w:szCs w:val="24"/>
              </w:rPr>
              <w:t>TOTAL</w:t>
            </w:r>
          </w:p>
        </w:tc>
        <w:tc>
          <w:tcPr>
            <w:tcW w:w="1704" w:type="dxa"/>
            <w:vAlign w:val="center"/>
          </w:tcPr>
          <w:p w14:paraId="14E8FEA5" w14:textId="77777777" w:rsidR="00601469" w:rsidRPr="00111BDB" w:rsidRDefault="00601469" w:rsidP="00111BDB">
            <w:pPr>
              <w:jc w:val="center"/>
              <w:rPr>
                <w:sz w:val="24"/>
                <w:szCs w:val="24"/>
              </w:rPr>
            </w:pPr>
          </w:p>
        </w:tc>
        <w:tc>
          <w:tcPr>
            <w:tcW w:w="1615" w:type="dxa"/>
            <w:vAlign w:val="center"/>
          </w:tcPr>
          <w:p w14:paraId="497DB836" w14:textId="77777777" w:rsidR="00601469" w:rsidRPr="00111BDB" w:rsidRDefault="00601469" w:rsidP="00111BDB">
            <w:pPr>
              <w:jc w:val="center"/>
              <w:rPr>
                <w:sz w:val="24"/>
                <w:szCs w:val="24"/>
              </w:rPr>
            </w:pPr>
          </w:p>
        </w:tc>
      </w:tr>
    </w:tbl>
    <w:p w14:paraId="3E68B421" w14:textId="20073931" w:rsidR="00C1676B" w:rsidRDefault="00C1676B" w:rsidP="00A66BC7">
      <w:pPr>
        <w:rPr>
          <w:sz w:val="24"/>
          <w:szCs w:val="24"/>
        </w:rPr>
      </w:pPr>
    </w:p>
    <w:p w14:paraId="25D7D8E2" w14:textId="607A4118" w:rsidR="004A2BD7" w:rsidRDefault="004A2BD7" w:rsidP="004A2BD7">
      <w:r>
        <w:t xml:space="preserve">Estimated engine stand size of 70”x 48” and engine block size </w:t>
      </w:r>
      <w:proofErr w:type="gramStart"/>
      <w:r>
        <w:t>of  60</w:t>
      </w:r>
      <w:proofErr w:type="gramEnd"/>
      <w:r>
        <w:t>” x 36”</w:t>
      </w:r>
    </w:p>
    <w:p w14:paraId="4D202FED" w14:textId="495289A1" w:rsidR="00B84F17" w:rsidRPr="00B84F17" w:rsidRDefault="00B84F17" w:rsidP="004A2BD7">
      <w:pPr>
        <w:rPr>
          <w:sz w:val="32"/>
          <w:szCs w:val="32"/>
        </w:rPr>
      </w:pPr>
      <w:r w:rsidRPr="00B84F17">
        <w:rPr>
          <w:sz w:val="32"/>
          <w:szCs w:val="32"/>
        </w:rPr>
        <w:t>Award will be made per line item on individual low basis.</w:t>
      </w:r>
    </w:p>
    <w:p w14:paraId="5029DF39" w14:textId="77777777" w:rsidR="004A2BD7" w:rsidRPr="005C67B1" w:rsidRDefault="004A2BD7" w:rsidP="00A66BC7">
      <w:pPr>
        <w:rPr>
          <w:sz w:val="24"/>
          <w:szCs w:val="24"/>
        </w:rPr>
      </w:pPr>
    </w:p>
    <w:sectPr w:rsidR="004A2BD7"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B5505F"/>
    <w:multiLevelType w:val="hybridMultilevel"/>
    <w:tmpl w:val="028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4"/>
  </w:num>
  <w:num w:numId="2" w16cid:durableId="285890447">
    <w:abstractNumId w:val="3"/>
  </w:num>
  <w:num w:numId="3" w16cid:durableId="2022587849">
    <w:abstractNumId w:val="2"/>
  </w:num>
  <w:num w:numId="4" w16cid:durableId="1668820041">
    <w:abstractNumId w:val="5"/>
  </w:num>
  <w:num w:numId="5" w16cid:durableId="1074736962">
    <w:abstractNumId w:val="0"/>
  </w:num>
  <w:num w:numId="6" w16cid:durableId="182689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A2BD7"/>
    <w:rsid w:val="004E45B0"/>
    <w:rsid w:val="004F2478"/>
    <w:rsid w:val="004F7AEF"/>
    <w:rsid w:val="0052690A"/>
    <w:rsid w:val="00546703"/>
    <w:rsid w:val="00560F51"/>
    <w:rsid w:val="005B7051"/>
    <w:rsid w:val="005C67B1"/>
    <w:rsid w:val="005F13C7"/>
    <w:rsid w:val="005F5D6F"/>
    <w:rsid w:val="00601469"/>
    <w:rsid w:val="00705DE0"/>
    <w:rsid w:val="00742AA6"/>
    <w:rsid w:val="00762580"/>
    <w:rsid w:val="008E2E8C"/>
    <w:rsid w:val="00942C5F"/>
    <w:rsid w:val="0097407F"/>
    <w:rsid w:val="00985DEE"/>
    <w:rsid w:val="00997B6C"/>
    <w:rsid w:val="009D430A"/>
    <w:rsid w:val="00A657AF"/>
    <w:rsid w:val="00A66BC7"/>
    <w:rsid w:val="00AB0DA6"/>
    <w:rsid w:val="00AE0CE6"/>
    <w:rsid w:val="00AF2C58"/>
    <w:rsid w:val="00B84F17"/>
    <w:rsid w:val="00C1676B"/>
    <w:rsid w:val="00C52A1A"/>
    <w:rsid w:val="00CB26E6"/>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2022-09-27T14:00:00Z</cp:lastPrinted>
  <dcterms:created xsi:type="dcterms:W3CDTF">2022-09-27T13:55:00Z</dcterms:created>
  <dcterms:modified xsi:type="dcterms:W3CDTF">2022-09-27T14:26:00Z</dcterms:modified>
</cp:coreProperties>
</file>