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to: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76124C28"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CF241C">
        <w:rPr>
          <w:rStyle w:val="Strong"/>
          <w:b/>
          <w:bCs w:val="0"/>
        </w:rPr>
        <w:t>23-115</w:t>
      </w:r>
      <w:r w:rsidR="00DD3594">
        <w:rPr>
          <w:rStyle w:val="Strong"/>
          <w:b/>
          <w:bCs w:val="0"/>
        </w:rPr>
        <w:t>/RFX# 316000</w:t>
      </w:r>
      <w:r w:rsidR="00587F84">
        <w:rPr>
          <w:rStyle w:val="Strong"/>
          <w:b/>
          <w:bCs w:val="0"/>
        </w:rPr>
        <w:t>6240</w:t>
      </w:r>
      <w:r w:rsidRPr="005F5D6F">
        <w:br/>
        <w:t>Opening Date:</w:t>
      </w:r>
      <w:r w:rsidRPr="005F5D6F">
        <w:rPr>
          <w:rStyle w:val="Strong"/>
          <w:b/>
          <w:bCs w:val="0"/>
        </w:rPr>
        <w:t xml:space="preserve">  </w:t>
      </w:r>
      <w:r w:rsidR="00DD3594">
        <w:rPr>
          <w:rStyle w:val="Strong"/>
          <w:b/>
          <w:bCs w:val="0"/>
        </w:rPr>
        <w:t>November 7, 2023 at 2:00 p.m.</w:t>
      </w:r>
      <w:r w:rsidRPr="005F5D6F">
        <w:br/>
      </w:r>
      <w:r w:rsidR="005F5D6F" w:rsidRPr="005F5D6F">
        <w:t>Description</w:t>
      </w:r>
      <w:r w:rsidRPr="005F5D6F">
        <w:t>:</w:t>
      </w:r>
      <w:r w:rsidRPr="005F5D6F">
        <w:rPr>
          <w:rStyle w:val="Strong"/>
          <w:b/>
          <w:bCs w:val="0"/>
        </w:rPr>
        <w:t xml:space="preserve">  </w:t>
      </w:r>
      <w:r w:rsidR="00CF241C">
        <w:rPr>
          <w:rStyle w:val="Strong"/>
          <w:b/>
          <w:bCs w:val="0"/>
        </w:rPr>
        <w:t>Ultra-Performance Liquid Chromatography system</w:t>
      </w:r>
    </w:p>
    <w:p w14:paraId="429EBB0F"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14BE8B3E" w:rsidR="00601469" w:rsidRPr="00111BDB" w:rsidRDefault="00CF241C" w:rsidP="00111BDB">
            <w:pPr>
              <w:jc w:val="center"/>
              <w:rPr>
                <w:sz w:val="24"/>
                <w:szCs w:val="24"/>
              </w:rPr>
            </w:pPr>
            <w:r>
              <w:rPr>
                <w:sz w:val="24"/>
                <w:szCs w:val="24"/>
              </w:rPr>
              <w:t>1</w:t>
            </w:r>
          </w:p>
        </w:tc>
        <w:tc>
          <w:tcPr>
            <w:tcW w:w="1350" w:type="dxa"/>
            <w:vAlign w:val="center"/>
          </w:tcPr>
          <w:p w14:paraId="6928AB51" w14:textId="6CF09606" w:rsidR="00601469" w:rsidRPr="00111BDB" w:rsidRDefault="00CF241C" w:rsidP="00111BDB">
            <w:pPr>
              <w:jc w:val="center"/>
              <w:rPr>
                <w:sz w:val="24"/>
                <w:szCs w:val="24"/>
              </w:rPr>
            </w:pPr>
            <w:r>
              <w:rPr>
                <w:sz w:val="24"/>
                <w:szCs w:val="24"/>
              </w:rPr>
              <w:t>1</w:t>
            </w:r>
          </w:p>
        </w:tc>
        <w:tc>
          <w:tcPr>
            <w:tcW w:w="5321" w:type="dxa"/>
            <w:vAlign w:val="center"/>
          </w:tcPr>
          <w:p w14:paraId="58412E19" w14:textId="74C9D339" w:rsidR="00601469" w:rsidRPr="00111BDB" w:rsidRDefault="00CF241C" w:rsidP="000A4E00">
            <w:pPr>
              <w:rPr>
                <w:sz w:val="24"/>
                <w:szCs w:val="24"/>
              </w:rPr>
            </w:pPr>
            <w:r>
              <w:rPr>
                <w:sz w:val="24"/>
                <w:szCs w:val="24"/>
              </w:rPr>
              <w:t>Ultra-Performance Liquid Chromatography system</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bl>
    <w:p w14:paraId="3E68B421" w14:textId="77777777" w:rsidR="00C1676B" w:rsidRDefault="00C1676B" w:rsidP="00A66BC7">
      <w:pPr>
        <w:rPr>
          <w:sz w:val="24"/>
          <w:szCs w:val="24"/>
        </w:rPr>
      </w:pPr>
    </w:p>
    <w:p w14:paraId="66BCF99E" w14:textId="77777777" w:rsidR="00CF241C" w:rsidRDefault="00CF241C" w:rsidP="00CF241C">
      <w:r>
        <w:t xml:space="preserve">An ultra-performance liquid chromatography (UPLC) system coupled to a quadrupole-time-of-flight (qToF) high-resolution mass spectrometer, with electrospray, atmospheric pressure chemical ionization, and atmospheric pressure photoionization source capabilities is sought. The instrument should be new and include installation, training, and necessary peripherals for use as described below. </w:t>
      </w:r>
    </w:p>
    <w:p w14:paraId="7AC10214" w14:textId="77777777" w:rsidR="00CF241C" w:rsidRPr="00BC6D19" w:rsidRDefault="00CF241C" w:rsidP="00CF241C">
      <w:pPr>
        <w:rPr>
          <w:b/>
          <w:bCs/>
        </w:rPr>
      </w:pPr>
      <w:r w:rsidRPr="00BC6D19">
        <w:rPr>
          <w:b/>
          <w:bCs/>
        </w:rPr>
        <w:tab/>
        <w:t>Mass Spectrometer</w:t>
      </w:r>
    </w:p>
    <w:p w14:paraId="5979B7BE" w14:textId="77777777" w:rsidR="00CF241C" w:rsidRDefault="00CF241C" w:rsidP="00CF241C">
      <w:pPr>
        <w:pStyle w:val="ListParagraph"/>
        <w:numPr>
          <w:ilvl w:val="0"/>
          <w:numId w:val="6"/>
        </w:numPr>
      </w:pPr>
      <w:r>
        <w:t xml:space="preserve">Bench-top ultra-high resolution quadrupole time-of-flight mass spectrometer capable of ultra-high resolution high mass accuracy measurements in both the MS and MS/MS (via collision cell collision-induced dissociation) modes. </w:t>
      </w:r>
    </w:p>
    <w:p w14:paraId="2D8AE53E" w14:textId="77777777" w:rsidR="00CF241C" w:rsidRDefault="00CF241C" w:rsidP="00CF241C">
      <w:pPr>
        <w:pStyle w:val="ListParagraph"/>
        <w:numPr>
          <w:ilvl w:val="0"/>
          <w:numId w:val="6"/>
        </w:numPr>
      </w:pPr>
      <w:r>
        <w:t xml:space="preserve">Heated electrospray ionization source, allowing for both electrospray ionization and atmospheric pressure chemical ionization. </w:t>
      </w:r>
    </w:p>
    <w:p w14:paraId="4489409B" w14:textId="77777777" w:rsidR="00CF241C" w:rsidRDefault="00CF241C" w:rsidP="00CF241C">
      <w:pPr>
        <w:pStyle w:val="ListParagraph"/>
        <w:numPr>
          <w:ilvl w:val="0"/>
          <w:numId w:val="6"/>
        </w:numPr>
      </w:pPr>
      <w:r>
        <w:t xml:space="preserve">Atmospheric pressure photoionization source, with appropriate UV lamp(s) and any other required components necessary for use, for additional ionization flexibility should be included. </w:t>
      </w:r>
    </w:p>
    <w:p w14:paraId="60806647" w14:textId="77777777" w:rsidR="00CF241C" w:rsidRDefault="00CF241C" w:rsidP="00CF241C">
      <w:pPr>
        <w:pStyle w:val="ListParagraph"/>
        <w:numPr>
          <w:ilvl w:val="0"/>
          <w:numId w:val="6"/>
        </w:numPr>
      </w:pPr>
      <w:r>
        <w:t xml:space="preserve">The instrument should be capable of upgrades to additional future source configurations, such as direct insertion probe or direct analysis in real time. </w:t>
      </w:r>
    </w:p>
    <w:p w14:paraId="38E0A82E" w14:textId="77777777" w:rsidR="00CF241C" w:rsidRDefault="00CF241C" w:rsidP="00CF241C">
      <w:pPr>
        <w:pStyle w:val="ListParagraph"/>
        <w:numPr>
          <w:ilvl w:val="0"/>
          <w:numId w:val="6"/>
        </w:numPr>
      </w:pPr>
      <w:r>
        <w:t xml:space="preserve">The instrument should have excellent sensitivity/ion transmission, through the implementation of ion funnel-based ion transfer systems, excellent resolution </w:t>
      </w:r>
      <w:r>
        <w:lastRenderedPageBreak/>
        <w:t xml:space="preserve">(60,000+ FWHM) without a loss of sensitivity or speed, rapid data acquisition (up to 50 Hz for MS and MS/MS experiments without loss of sensitivity or resolution performance), and 2 ppm or better mass accuracy with external calibration for both MS and MS/MS data. </w:t>
      </w:r>
    </w:p>
    <w:p w14:paraId="1DA0C641" w14:textId="77777777" w:rsidR="00CF241C" w:rsidRDefault="00CF241C" w:rsidP="00CF241C">
      <w:pPr>
        <w:pStyle w:val="ListParagraph"/>
        <w:numPr>
          <w:ilvl w:val="0"/>
          <w:numId w:val="6"/>
        </w:numPr>
      </w:pPr>
      <w:r>
        <w:t xml:space="preserve">All required mechanical and turbomolecular pumps needed to operate the instrument must be included. </w:t>
      </w:r>
    </w:p>
    <w:p w14:paraId="3BE2616A" w14:textId="77777777" w:rsidR="00CF241C" w:rsidRDefault="00CF241C" w:rsidP="00CF241C">
      <w:pPr>
        <w:pStyle w:val="ListParagraph"/>
        <w:numPr>
          <w:ilvl w:val="0"/>
          <w:numId w:val="6"/>
        </w:numPr>
      </w:pPr>
      <w:r>
        <w:t xml:space="preserve">A computer (including monitor, keyboard, mouse, operating system, and necessary software) for operating the instrument and data collection must be included. The included software should be capable of automated isotope pattern matching for MS and MS/MS data. </w:t>
      </w:r>
    </w:p>
    <w:p w14:paraId="76BFE304" w14:textId="77777777" w:rsidR="00CF241C" w:rsidRPr="00BC6D19" w:rsidRDefault="00CF241C" w:rsidP="00CF241C">
      <w:pPr>
        <w:rPr>
          <w:b/>
          <w:bCs/>
        </w:rPr>
      </w:pPr>
      <w:r w:rsidRPr="00BC6D19">
        <w:rPr>
          <w:b/>
          <w:bCs/>
        </w:rPr>
        <w:tab/>
      </w:r>
      <w:r>
        <w:rPr>
          <w:b/>
          <w:bCs/>
        </w:rPr>
        <w:t>U</w:t>
      </w:r>
      <w:r w:rsidRPr="00BC6D19">
        <w:rPr>
          <w:b/>
          <w:bCs/>
        </w:rPr>
        <w:t>PLC System</w:t>
      </w:r>
    </w:p>
    <w:p w14:paraId="3A75038B" w14:textId="77777777" w:rsidR="00CF241C" w:rsidRDefault="00CF241C" w:rsidP="00CF241C">
      <w:pPr>
        <w:pStyle w:val="ListParagraph"/>
        <w:numPr>
          <w:ilvl w:val="0"/>
          <w:numId w:val="7"/>
        </w:numPr>
      </w:pPr>
      <w:r>
        <w:t xml:space="preserve">An UPLC system manufactured by the same vendor as the mass spectrometer for ease of integration and operation must be included. </w:t>
      </w:r>
    </w:p>
    <w:p w14:paraId="3615C556" w14:textId="77777777" w:rsidR="00CF241C" w:rsidRDefault="00CF241C" w:rsidP="00CF241C">
      <w:pPr>
        <w:pStyle w:val="ListParagraph"/>
        <w:numPr>
          <w:ilvl w:val="0"/>
          <w:numId w:val="7"/>
        </w:numPr>
      </w:pPr>
      <w:r>
        <w:t xml:space="preserve">The UPLC system must include a binary pump, built-in degasser, autosampler, and a column oven with cooling. </w:t>
      </w:r>
    </w:p>
    <w:p w14:paraId="7C4045E9" w14:textId="77777777" w:rsidR="00CF241C" w:rsidRDefault="00CF241C" w:rsidP="00CF241C">
      <w:pPr>
        <w:pStyle w:val="ListParagraph"/>
        <w:numPr>
          <w:ilvl w:val="0"/>
          <w:numId w:val="7"/>
        </w:numPr>
      </w:pPr>
      <w:r>
        <w:t xml:space="preserve">The UPLC must be under software control fully integrated with that of the mass spectrometer. </w:t>
      </w:r>
    </w:p>
    <w:p w14:paraId="48C6FB66" w14:textId="77777777" w:rsidR="00CF241C" w:rsidRDefault="00CF241C" w:rsidP="00CF241C">
      <w:pPr>
        <w:pStyle w:val="ListParagraph"/>
        <w:numPr>
          <w:ilvl w:val="0"/>
          <w:numId w:val="7"/>
        </w:numPr>
      </w:pPr>
      <w:r>
        <w:t xml:space="preserve">The UPLC should operate at flow rates compatible with those of the ion sources described above. </w:t>
      </w:r>
    </w:p>
    <w:p w14:paraId="14A7465C" w14:textId="77777777" w:rsidR="00CF241C" w:rsidRPr="008E1A23" w:rsidRDefault="00CF241C" w:rsidP="00CF241C">
      <w:pPr>
        <w:rPr>
          <w:b/>
          <w:bCs/>
        </w:rPr>
      </w:pPr>
      <w:r w:rsidRPr="00BC6D19">
        <w:rPr>
          <w:b/>
          <w:bCs/>
        </w:rPr>
        <w:tab/>
        <w:t>Additional Requirements</w:t>
      </w:r>
    </w:p>
    <w:p w14:paraId="7042E3C7" w14:textId="77777777" w:rsidR="00CF241C" w:rsidRDefault="00CF241C" w:rsidP="00CF241C">
      <w:pPr>
        <w:pStyle w:val="ListParagraph"/>
        <w:numPr>
          <w:ilvl w:val="0"/>
          <w:numId w:val="8"/>
        </w:numPr>
      </w:pPr>
      <w:r>
        <w:t>A compatible (vendor or 3</w:t>
      </w:r>
      <w:r w:rsidRPr="00242964">
        <w:rPr>
          <w:vertAlign w:val="superscript"/>
        </w:rPr>
        <w:t>rd</w:t>
      </w:r>
      <w:r>
        <w:t xml:space="preserve"> party) nitrogen/air generator with integrated air compressor specifically designed for compatibility with mass spectrometer specifications should be included. </w:t>
      </w:r>
    </w:p>
    <w:p w14:paraId="51293783" w14:textId="77777777" w:rsidR="00CF241C" w:rsidRDefault="00CF241C" w:rsidP="00CF241C">
      <w:pPr>
        <w:pStyle w:val="ListParagraph"/>
        <w:numPr>
          <w:ilvl w:val="0"/>
          <w:numId w:val="8"/>
        </w:numPr>
      </w:pPr>
      <w:r>
        <w:t>An uninterruptable power supply (vendor or 3</w:t>
      </w:r>
      <w:r w:rsidRPr="00242964">
        <w:rPr>
          <w:vertAlign w:val="superscript"/>
        </w:rPr>
        <w:t>rd</w:t>
      </w:r>
      <w:r>
        <w:t xml:space="preserve"> party) compatible with the above instruments must be included. </w:t>
      </w:r>
    </w:p>
    <w:p w14:paraId="35437DEC" w14:textId="77777777" w:rsidR="00CF241C" w:rsidRDefault="00CF241C" w:rsidP="00CF241C">
      <w:pPr>
        <w:pStyle w:val="ListParagraph"/>
        <w:numPr>
          <w:ilvl w:val="0"/>
          <w:numId w:val="8"/>
        </w:numPr>
      </w:pPr>
      <w:r>
        <w:t xml:space="preserve">Freight shipping/delivery to the specified laboratory on the campus of Mississippi State University must be included. </w:t>
      </w:r>
    </w:p>
    <w:p w14:paraId="79429EB2" w14:textId="77777777" w:rsidR="00CF241C" w:rsidRDefault="00CF241C" w:rsidP="00CF241C">
      <w:pPr>
        <w:pStyle w:val="ListParagraph"/>
        <w:numPr>
          <w:ilvl w:val="0"/>
          <w:numId w:val="8"/>
        </w:numPr>
      </w:pPr>
      <w:r>
        <w:t xml:space="preserve">In-lab/on-site installation, demonstration of meeting OEM specifications, and familiarization of operators must be included. Additional application/operator training should be included. </w:t>
      </w:r>
    </w:p>
    <w:p w14:paraId="0BCF1C50" w14:textId="77777777" w:rsidR="00CF241C" w:rsidRDefault="00CF241C" w:rsidP="00CF241C">
      <w:pPr>
        <w:pStyle w:val="ListParagraph"/>
        <w:numPr>
          <w:ilvl w:val="0"/>
          <w:numId w:val="8"/>
        </w:numPr>
      </w:pPr>
      <w:r>
        <w:t xml:space="preserve">The instrument must be covered by at least a 1 year warranty. </w:t>
      </w:r>
    </w:p>
    <w:p w14:paraId="414FD0E9" w14:textId="77777777" w:rsidR="00CF241C" w:rsidRPr="005C67B1" w:rsidRDefault="00CF241C" w:rsidP="00A66BC7">
      <w:pPr>
        <w:rPr>
          <w:sz w:val="24"/>
          <w:szCs w:val="24"/>
        </w:rPr>
      </w:pPr>
    </w:p>
    <w:sectPr w:rsidR="00CF241C"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F7173"/>
    <w:multiLevelType w:val="hybridMultilevel"/>
    <w:tmpl w:val="4FF6E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893F63"/>
    <w:multiLevelType w:val="hybridMultilevel"/>
    <w:tmpl w:val="DCDED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92C10"/>
    <w:multiLevelType w:val="hybridMultilevel"/>
    <w:tmpl w:val="5F86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8538320">
    <w:abstractNumId w:val="5"/>
  </w:num>
  <w:num w:numId="2" w16cid:durableId="285890447">
    <w:abstractNumId w:val="4"/>
  </w:num>
  <w:num w:numId="3" w16cid:durableId="2022587849">
    <w:abstractNumId w:val="3"/>
  </w:num>
  <w:num w:numId="4" w16cid:durableId="1668820041">
    <w:abstractNumId w:val="6"/>
  </w:num>
  <w:num w:numId="5" w16cid:durableId="1074736962">
    <w:abstractNumId w:val="0"/>
  </w:num>
  <w:num w:numId="6" w16cid:durableId="2020310380">
    <w:abstractNumId w:val="1"/>
  </w:num>
  <w:num w:numId="7" w16cid:durableId="1841463242">
    <w:abstractNumId w:val="7"/>
  </w:num>
  <w:num w:numId="8" w16cid:durableId="773794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87F84"/>
    <w:rsid w:val="005B7051"/>
    <w:rsid w:val="005C67B1"/>
    <w:rsid w:val="005F13C7"/>
    <w:rsid w:val="005F5D6F"/>
    <w:rsid w:val="00601469"/>
    <w:rsid w:val="00705DE0"/>
    <w:rsid w:val="00742AA6"/>
    <w:rsid w:val="00762580"/>
    <w:rsid w:val="008E2E8C"/>
    <w:rsid w:val="0097407F"/>
    <w:rsid w:val="00985DEE"/>
    <w:rsid w:val="00997B6C"/>
    <w:rsid w:val="009D430A"/>
    <w:rsid w:val="00A657AF"/>
    <w:rsid w:val="00A66BC7"/>
    <w:rsid w:val="00AB0DA6"/>
    <w:rsid w:val="00AE0CE6"/>
    <w:rsid w:val="00AF2C58"/>
    <w:rsid w:val="00C1676B"/>
    <w:rsid w:val="00C52A1A"/>
    <w:rsid w:val="00CB26E6"/>
    <w:rsid w:val="00CF241C"/>
    <w:rsid w:val="00D90556"/>
    <w:rsid w:val="00DD3594"/>
    <w:rsid w:val="00DE01B2"/>
    <w:rsid w:val="00E316A2"/>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4</cp:revision>
  <cp:lastPrinted>2023-09-26T16:11:00Z</cp:lastPrinted>
  <dcterms:created xsi:type="dcterms:W3CDTF">2023-09-26T16:11:00Z</dcterms:created>
  <dcterms:modified xsi:type="dcterms:W3CDTF">2023-10-16T13:33:00Z</dcterms:modified>
</cp:coreProperties>
</file>