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51B5" w14:textId="77777777" w:rsidR="003D1245" w:rsidRDefault="003D1245" w:rsidP="003D1245">
      <w:pPr>
        <w:spacing w:before="100" w:beforeAutospacing="1" w:after="100" w:afterAutospacing="1" w:line="360" w:lineRule="atLeast"/>
        <w:textAlignment w:val="baseline"/>
      </w:pPr>
      <w:r>
        <w:rPr>
          <w:rFonts w:ascii="Times New Roman" w:hAnsi="Times New Roman" w:cs="Times New Roman"/>
          <w:caps/>
          <w:color w:val="051B26"/>
          <w:spacing w:val="8"/>
          <w:sz w:val="21"/>
          <w:szCs w:val="21"/>
        </w:rPr>
        <w:t>Wheel Stock Piling Conveyor</w:t>
      </w:r>
    </w:p>
    <w:p w14:paraId="1CCB8C82" w14:textId="77777777" w:rsidR="003D1245" w:rsidRDefault="003D1245" w:rsidP="003D1245">
      <w:pPr>
        <w:spacing w:before="100" w:beforeAutospacing="1" w:after="100" w:afterAutospacing="1" w:line="360" w:lineRule="atLeast"/>
        <w:textAlignment w:val="baseline"/>
      </w:pPr>
      <w:r>
        <w:rPr>
          <w:rFonts w:ascii="Times New Roman" w:hAnsi="Times New Roman" w:cs="Times New Roman"/>
          <w:caps/>
          <w:color w:val="051B26"/>
          <w:spacing w:val="8"/>
          <w:sz w:val="21"/>
          <w:szCs w:val="21"/>
        </w:rPr>
        <w:t>GENERAL SPECIFICATIONS</w:t>
      </w:r>
    </w:p>
    <w:p w14:paraId="47DA2587" w14:textId="77777777" w:rsidR="003D1245" w:rsidRDefault="00000000" w:rsidP="003D1245">
      <w:pPr>
        <w:jc w:val="center"/>
        <w:rPr>
          <w:rFonts w:eastAsia="Times New Roman"/>
        </w:rPr>
      </w:pPr>
      <w:r>
        <w:rPr>
          <w:rFonts w:eastAsia="Times New Roman"/>
        </w:rPr>
        <w:pict w14:anchorId="1EC427D6">
          <v:rect id="_x0000_i1025" style="width:468pt;height:1.5pt" o:hralign="center" o:hrstd="t" o:hrnoshade="t" o:hr="t" fillcolor="black" stroked="f"/>
        </w:pict>
      </w:r>
    </w:p>
    <w:p w14:paraId="16DE7EC4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Overall Length: 80’</w:t>
      </w:r>
    </w:p>
    <w:p w14:paraId="70B1ED0F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Belt Width: 36”</w:t>
      </w:r>
    </w:p>
    <w:p w14:paraId="74E039B4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Up to 48” Belt Available: Yes</w:t>
      </w:r>
    </w:p>
    <w:p w14:paraId="5912A5E6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Belt Speed @2,100 rpm: 750 FPM</w:t>
      </w:r>
    </w:p>
    <w:p w14:paraId="3B735DF8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Max. Discharge Height: 34’ @ 24°</w:t>
      </w:r>
    </w:p>
    <w:p w14:paraId="53E8BEC5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 xml:space="preserve">Stockpile Height (to center of head pulley): 28’ 8” @ 20° </w:t>
      </w:r>
      <w:proofErr w:type="gramStart"/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incline</w:t>
      </w:r>
      <w:proofErr w:type="gramEnd"/>
    </w:p>
    <w:p w14:paraId="22EB76F1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Cone Capacity 1,624 CY / 2,193 T @ 20° incline</w:t>
      </w:r>
    </w:p>
    <w:p w14:paraId="3E3EBA31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* 90° Radial Capacity: 4,740 CY / 6,400 T @ 20° incline</w:t>
      </w:r>
    </w:p>
    <w:p w14:paraId="0779BDF3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* 180° Radial Capacity: 9,480 CY / 12,800 T @ 20° incline</w:t>
      </w:r>
    </w:p>
    <w:p w14:paraId="6478C614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Weight: (</w:t>
      </w:r>
      <w:proofErr w:type="spellStart"/>
      <w:r>
        <w:rPr>
          <w:rStyle w:val="spelle"/>
          <w:rFonts w:ascii="Times New Roman" w:hAnsi="Times New Roman" w:cs="Times New Roman"/>
          <w:color w:val="051B26"/>
          <w:spacing w:val="2"/>
          <w:sz w:val="21"/>
          <w:szCs w:val="21"/>
        </w:rPr>
        <w:t>lbs</w:t>
      </w:r>
      <w:proofErr w:type="spellEnd"/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 xml:space="preserve">, </w:t>
      </w:r>
      <w:proofErr w:type="spellStart"/>
      <w:r>
        <w:rPr>
          <w:rStyle w:val="spelle"/>
          <w:rFonts w:ascii="Times New Roman" w:hAnsi="Times New Roman" w:cs="Times New Roman"/>
          <w:color w:val="051B26"/>
          <w:spacing w:val="2"/>
          <w:sz w:val="21"/>
          <w:szCs w:val="21"/>
        </w:rPr>
        <w:t>approx</w:t>
      </w:r>
      <w:proofErr w:type="spellEnd"/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): 21,000</w:t>
      </w:r>
    </w:p>
    <w:p w14:paraId="0853CCF4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Transport (Quantity per load): 2</w:t>
      </w:r>
    </w:p>
    <w:p w14:paraId="11EA5E65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Engine (Standard): Cummins 74 HP T4F</w:t>
      </w:r>
    </w:p>
    <w:p w14:paraId="6734138B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Capacity with 74 HP: Up to 700 TPH</w:t>
      </w:r>
    </w:p>
    <w:p w14:paraId="53DEA6F1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Capacity with 110 HP (optional): 1000 TPH</w:t>
      </w:r>
    </w:p>
    <w:p w14:paraId="1FB75786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Fold Mechanism: Hydraulic / Internal</w:t>
      </w:r>
    </w:p>
    <w:p w14:paraId="57A57FB4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Three-Ply Belt Standard: Yes</w:t>
      </w:r>
    </w:p>
    <w:p w14:paraId="0320F5EF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Skirted Low-Profile Universal Feed Boot Standard: Yes</w:t>
      </w:r>
    </w:p>
    <w:p w14:paraId="228787A0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lastRenderedPageBreak/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Oversized Radial Hopper Extension Standard: Yes</w:t>
      </w:r>
    </w:p>
    <w:p w14:paraId="446AC8A3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Impact Bed Standard: Yes</w:t>
      </w:r>
    </w:p>
    <w:p w14:paraId="4F9FF8F2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Dual Blade Belt Scraper Standard: Yes</w:t>
      </w:r>
    </w:p>
    <w:p w14:paraId="471E2CB0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Enclosed Locking Engine Compartment Standard: Yes</w:t>
      </w:r>
    </w:p>
    <w:p w14:paraId="6BA52E6E" w14:textId="77777777" w:rsidR="003D1245" w:rsidRDefault="003D1245" w:rsidP="003D1245">
      <w:pPr>
        <w:spacing w:before="100" w:beforeAutospacing="1" w:after="100" w:afterAutospacing="1" w:line="384" w:lineRule="atLeast"/>
        <w:ind w:left="966" w:hanging="360"/>
        <w:textAlignment w:val="baseline"/>
      </w:pPr>
      <w:r>
        <w:rPr>
          <w:rFonts w:ascii="Symbol" w:hAnsi="Symbol"/>
          <w:color w:val="051B26"/>
          <w:spacing w:val="2"/>
          <w:sz w:val="20"/>
          <w:szCs w:val="20"/>
        </w:rPr>
        <w:t>·</w:t>
      </w:r>
      <w:r>
        <w:rPr>
          <w:rFonts w:ascii="Times New Roman" w:hAnsi="Times New Roman" w:cs="Times New Roman"/>
          <w:color w:val="051B26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51B26"/>
          <w:spacing w:val="2"/>
          <w:sz w:val="21"/>
          <w:szCs w:val="21"/>
        </w:rPr>
        <w:t>* Stockpile capacities are based on 100 PCF material density with a 37° angle of repose.</w:t>
      </w:r>
    </w:p>
    <w:p w14:paraId="3AF331A4" w14:textId="77777777" w:rsidR="003D1245" w:rsidRPr="003D1245" w:rsidRDefault="003D1245" w:rsidP="003D1245"/>
    <w:sectPr w:rsidR="003D1245" w:rsidRPr="003D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5"/>
    <w:rsid w:val="003D1245"/>
    <w:rsid w:val="004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D501"/>
  <w15:chartTrackingRefBased/>
  <w15:docId w15:val="{6615BAE8-8ADB-461D-B0F8-75B9CC31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4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3D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Cacynthia Patterson</cp:lastModifiedBy>
  <cp:revision>2</cp:revision>
  <dcterms:created xsi:type="dcterms:W3CDTF">2023-02-21T15:22:00Z</dcterms:created>
  <dcterms:modified xsi:type="dcterms:W3CDTF">2023-02-21T15:22:00Z</dcterms:modified>
</cp:coreProperties>
</file>