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bookmarkStart w:id="0" w:name="_GoBack"/>
      <w:bookmarkEnd w:id="0"/>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5EDDECEC" w:rsidR="002D2B69" w:rsidRPr="004A46C1" w:rsidRDefault="00D0785D" w:rsidP="002D2B69">
      <w:r>
        <w:tab/>
        <w:t xml:space="preserve"> </w:t>
      </w:r>
      <w:r w:rsidR="00E7419C">
        <w:t>Associate CIO</w:t>
      </w:r>
      <w:r w:rsidR="002D2B69" w:rsidRPr="004A46C1">
        <w:t xml:space="preserve">  </w:t>
      </w:r>
      <w:r w:rsidR="002D2B69" w:rsidRPr="004A46C1">
        <w:tab/>
      </w:r>
    </w:p>
    <w:p w14:paraId="5841125A" w14:textId="77777777" w:rsidR="002D2B69" w:rsidRDefault="002D2B69" w:rsidP="002D2B69"/>
    <w:p w14:paraId="5369FECE" w14:textId="4D1973B5" w:rsidR="002D2B69" w:rsidRPr="000C58CD" w:rsidRDefault="002D2B69" w:rsidP="002D2B69">
      <w:pPr>
        <w:rPr>
          <w:b/>
        </w:rPr>
      </w:pPr>
      <w:r w:rsidRPr="000C58CD">
        <w:rPr>
          <w:b/>
        </w:rPr>
        <w:t xml:space="preserve">Date: </w:t>
      </w:r>
      <w:r w:rsidRPr="000C58CD">
        <w:rPr>
          <w:b/>
        </w:rPr>
        <w:tab/>
      </w:r>
      <w:r w:rsidR="00026285">
        <w:t>April 3, 2018</w:t>
      </w:r>
    </w:p>
    <w:p w14:paraId="24610532" w14:textId="77777777" w:rsidR="002D2B69" w:rsidRDefault="002D2B69" w:rsidP="002D2B69"/>
    <w:p w14:paraId="39111945" w14:textId="73C4A47B" w:rsidR="002D2B69" w:rsidRDefault="002D2B69" w:rsidP="009D150D">
      <w:pPr>
        <w:ind w:left="720" w:hanging="720"/>
      </w:pPr>
      <w:r w:rsidRPr="000C58CD">
        <w:rPr>
          <w:b/>
        </w:rPr>
        <w:t>Re:</w:t>
      </w:r>
      <w:r>
        <w:t xml:space="preserve"> </w:t>
      </w:r>
      <w:r>
        <w:tab/>
        <w:t xml:space="preserve">Sole Source Certification Number </w:t>
      </w:r>
      <w:r w:rsidR="001B22B0" w:rsidRPr="00D646E4">
        <w:rPr>
          <w:b/>
          <w:color w:val="FF0000"/>
        </w:rPr>
        <w:t>SS</w:t>
      </w:r>
      <w:r w:rsidR="00E536BF" w:rsidRPr="00D646E4">
        <w:rPr>
          <w:b/>
          <w:color w:val="FF0000"/>
        </w:rPr>
        <w:t>9</w:t>
      </w:r>
      <w:r w:rsidR="00E7419C">
        <w:rPr>
          <w:b/>
          <w:color w:val="FF0000"/>
        </w:rPr>
        <w:t>144</w:t>
      </w:r>
      <w:r w:rsidRPr="00D646E4">
        <w:rPr>
          <w:color w:val="FF0000"/>
        </w:rPr>
        <w:t xml:space="preserve"> for </w:t>
      </w:r>
      <w:r w:rsidR="00E7419C">
        <w:rPr>
          <w:color w:val="FF0000"/>
        </w:rPr>
        <w:t>Forte Eval</w:t>
      </w:r>
      <w:r w:rsidR="009D150D" w:rsidRPr="00D646E4">
        <w:rPr>
          <w:color w:val="FF0000"/>
        </w:rPr>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65E8691" w:rsidR="002D2B69" w:rsidRDefault="002D2B69" w:rsidP="00E7419C">
      <w:pPr>
        <w:jc w:val="both"/>
      </w:pPr>
      <w:r>
        <w:t xml:space="preserve">Regarding UMMC Sole Source Certification Number </w:t>
      </w:r>
      <w:r w:rsidR="001B22B0" w:rsidRPr="00D646E4">
        <w:rPr>
          <w:b/>
          <w:color w:val="FF0000"/>
        </w:rPr>
        <w:t>SS</w:t>
      </w:r>
      <w:r w:rsidR="00765458" w:rsidRPr="00D646E4">
        <w:rPr>
          <w:b/>
          <w:color w:val="FF0000"/>
        </w:rPr>
        <w:t>9</w:t>
      </w:r>
      <w:r w:rsidR="00E7419C">
        <w:rPr>
          <w:b/>
          <w:color w:val="FF0000"/>
        </w:rPr>
        <w:t>144</w:t>
      </w:r>
      <w:r w:rsidR="002D2405" w:rsidRPr="000E2ADE">
        <w:rPr>
          <w:color w:val="FF0000"/>
        </w:rPr>
        <w:t xml:space="preserve"> </w:t>
      </w:r>
      <w:r w:rsidR="009415BF">
        <w:t xml:space="preserve">for </w:t>
      </w:r>
      <w:r w:rsidR="00E7419C">
        <w:t>Forte Eval</w:t>
      </w:r>
      <w:r w:rsidRPr="004A46C1">
        <w:t xml:space="preserve">, please be advised that UMMC intends to award the purchase of </w:t>
      </w:r>
      <w:r w:rsidR="0001425C" w:rsidRPr="000A396E">
        <w:t xml:space="preserve">the </w:t>
      </w:r>
      <w:r w:rsidR="00E7419C">
        <w:t>Forte Eval</w:t>
      </w:r>
      <w:r w:rsidR="00AF2D42" w:rsidRPr="000E2ADE">
        <w:rPr>
          <w:b/>
          <w:color w:val="FF0000"/>
        </w:rPr>
        <w:t xml:space="preserve"> </w:t>
      </w:r>
      <w:r w:rsidRPr="004A46C1">
        <w:t xml:space="preserve">to </w:t>
      </w:r>
      <w:r w:rsidR="00E7419C">
        <w:t>Forte Research Systems, Inc.</w:t>
      </w:r>
      <w:r w:rsidR="009D150D" w:rsidRPr="002D2405">
        <w:rPr>
          <w:color w:val="FF0000"/>
        </w:rPr>
        <w:t xml:space="preserve"> </w:t>
      </w:r>
      <w:r w:rsidR="00E536BF">
        <w:t>as the</w:t>
      </w:r>
      <w:r w:rsidR="00E7419C">
        <w:t xml:space="preserve"> s</w:t>
      </w:r>
      <w:r w:rsidR="00E536BF">
        <w:t xml:space="preserve">ole </w:t>
      </w:r>
      <w:r w:rsidRPr="004A46C1">
        <w:t xml:space="preserve">source provider of </w:t>
      </w:r>
      <w:r w:rsidR="0001425C" w:rsidRPr="000A396E">
        <w:t xml:space="preserve">the </w:t>
      </w:r>
      <w:r w:rsidR="00E7419C">
        <w:t>Forte Eval</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0F22EB7" w:rsidR="002D2B69" w:rsidRPr="007A274F" w:rsidRDefault="00E7419C" w:rsidP="00E7419C">
            <w:r>
              <w:rPr>
                <w:color w:val="FF0000"/>
              </w:rPr>
              <w:t>February 7,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D055508" w:rsidR="002D2B69" w:rsidRPr="007A274F" w:rsidRDefault="00E7419C" w:rsidP="00E7419C">
            <w:r>
              <w:rPr>
                <w:color w:val="FF0000"/>
              </w:rPr>
              <w:t>February 14,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37D2F4C" w:rsidR="002D2B69" w:rsidRPr="007A274F" w:rsidRDefault="00E7419C" w:rsidP="00E7419C">
            <w:r>
              <w:rPr>
                <w:color w:val="FF0000"/>
              </w:rPr>
              <w:t>February 21, 2019,</w:t>
            </w:r>
            <w:r w:rsidR="002D2B69" w:rsidRPr="007A274F">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3D47DF5" w:rsidR="002D2B69" w:rsidRPr="007A274F" w:rsidRDefault="002D2B69" w:rsidP="00E7419C">
            <w:r w:rsidRPr="007A274F">
              <w:t xml:space="preserve">Not before </w:t>
            </w:r>
            <w:r w:rsidR="00E7419C">
              <w:t>February 21, 2019</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7CD07C74" w14:textId="1270E0C5" w:rsidR="00E7419C" w:rsidRDefault="00E7419C" w:rsidP="00E7419C">
      <w:pPr>
        <w:pStyle w:val="BodyText"/>
        <w:spacing w:before="82" w:line="252" w:lineRule="auto"/>
        <w:ind w:left="819" w:right="387" w:hanging="3"/>
        <w:rPr>
          <w:sz w:val="22"/>
          <w:szCs w:val="22"/>
        </w:rPr>
      </w:pPr>
      <w:r>
        <w:rPr>
          <w:color w:val="0E0E0E"/>
          <w:w w:val="105"/>
        </w:rPr>
        <w:t>Forte Research System</w:t>
      </w:r>
      <w:r>
        <w:rPr>
          <w:color w:val="383838"/>
          <w:w w:val="105"/>
        </w:rPr>
        <w:t xml:space="preserve">, </w:t>
      </w:r>
      <w:r>
        <w:rPr>
          <w:color w:val="0E0E0E"/>
          <w:spacing w:val="-4"/>
          <w:w w:val="105"/>
        </w:rPr>
        <w:t>Inc</w:t>
      </w:r>
      <w:r>
        <w:rPr>
          <w:color w:val="383838"/>
          <w:spacing w:val="-4"/>
          <w:w w:val="105"/>
        </w:rPr>
        <w:t xml:space="preserve">. </w:t>
      </w:r>
      <w:r>
        <w:rPr>
          <w:color w:val="0E0E0E"/>
          <w:w w:val="105"/>
        </w:rPr>
        <w:t xml:space="preserve">(Forte) is a private company founded in February 2000. The company is based in Madison, </w:t>
      </w:r>
      <w:r>
        <w:rPr>
          <w:color w:val="0E0E0E"/>
          <w:spacing w:val="-6"/>
          <w:w w:val="105"/>
        </w:rPr>
        <w:t>Wisconsin</w:t>
      </w:r>
      <w:r>
        <w:rPr>
          <w:color w:val="282828"/>
          <w:spacing w:val="-6"/>
          <w:w w:val="105"/>
        </w:rPr>
        <w:t xml:space="preserve">. </w:t>
      </w:r>
      <w:r>
        <w:rPr>
          <w:color w:val="0E0E0E"/>
          <w:w w:val="105"/>
        </w:rPr>
        <w:t>Forte provides software and services in the critical areas of clinical trail management, clinical data management</w:t>
      </w:r>
      <w:r>
        <w:rPr>
          <w:color w:val="0E0E0E"/>
          <w:spacing w:val="1"/>
          <w:w w:val="105"/>
        </w:rPr>
        <w:t xml:space="preserve"> </w:t>
      </w:r>
      <w:r>
        <w:rPr>
          <w:color w:val="0E0E0E"/>
          <w:w w:val="105"/>
        </w:rPr>
        <w:t>and</w:t>
      </w:r>
      <w:r>
        <w:rPr>
          <w:color w:val="0E0E0E"/>
          <w:spacing w:val="-17"/>
          <w:w w:val="105"/>
        </w:rPr>
        <w:t xml:space="preserve"> </w:t>
      </w:r>
      <w:r>
        <w:rPr>
          <w:color w:val="0E0E0E"/>
          <w:w w:val="105"/>
        </w:rPr>
        <w:t>research</w:t>
      </w:r>
      <w:r>
        <w:rPr>
          <w:color w:val="0E0E0E"/>
          <w:spacing w:val="-6"/>
          <w:w w:val="105"/>
        </w:rPr>
        <w:t xml:space="preserve"> </w:t>
      </w:r>
      <w:r>
        <w:rPr>
          <w:color w:val="0E0E0E"/>
          <w:w w:val="105"/>
        </w:rPr>
        <w:t>administration</w:t>
      </w:r>
      <w:r>
        <w:rPr>
          <w:color w:val="0E0E0E"/>
          <w:spacing w:val="-20"/>
          <w:w w:val="105"/>
        </w:rPr>
        <w:t xml:space="preserve"> </w:t>
      </w:r>
      <w:r>
        <w:rPr>
          <w:color w:val="0E0E0E"/>
          <w:w w:val="105"/>
        </w:rPr>
        <w:t>for</w:t>
      </w:r>
      <w:r>
        <w:rPr>
          <w:color w:val="0E0E0E"/>
          <w:spacing w:val="-16"/>
          <w:w w:val="105"/>
        </w:rPr>
        <w:t xml:space="preserve"> </w:t>
      </w:r>
      <w:r>
        <w:rPr>
          <w:color w:val="0E0E0E"/>
          <w:w w:val="105"/>
        </w:rPr>
        <w:t>cancer</w:t>
      </w:r>
      <w:r>
        <w:rPr>
          <w:color w:val="0E0E0E"/>
          <w:spacing w:val="-11"/>
          <w:w w:val="105"/>
        </w:rPr>
        <w:t xml:space="preserve"> </w:t>
      </w:r>
      <w:r>
        <w:rPr>
          <w:color w:val="0E0E0E"/>
          <w:w w:val="105"/>
        </w:rPr>
        <w:t>centers</w:t>
      </w:r>
      <w:r>
        <w:rPr>
          <w:color w:val="282828"/>
          <w:w w:val="105"/>
        </w:rPr>
        <w:t>,</w:t>
      </w:r>
      <w:r>
        <w:rPr>
          <w:color w:val="282828"/>
          <w:spacing w:val="-15"/>
          <w:w w:val="105"/>
        </w:rPr>
        <w:t xml:space="preserve"> </w:t>
      </w:r>
      <w:r>
        <w:rPr>
          <w:color w:val="0E0E0E"/>
          <w:w w:val="105"/>
        </w:rPr>
        <w:t>academic</w:t>
      </w:r>
      <w:r>
        <w:rPr>
          <w:color w:val="0E0E0E"/>
          <w:spacing w:val="-9"/>
          <w:w w:val="105"/>
        </w:rPr>
        <w:t xml:space="preserve"> </w:t>
      </w:r>
      <w:r>
        <w:rPr>
          <w:color w:val="0E0E0E"/>
          <w:w w:val="105"/>
        </w:rPr>
        <w:t>medical centers and health systems. Forte's integrated portfolio, allows organizations to gain</w:t>
      </w:r>
      <w:r>
        <w:rPr>
          <w:color w:val="0E0E0E"/>
          <w:spacing w:val="-21"/>
          <w:w w:val="105"/>
        </w:rPr>
        <w:t xml:space="preserve"> </w:t>
      </w:r>
      <w:r>
        <w:rPr>
          <w:color w:val="0E0E0E"/>
          <w:w w:val="105"/>
        </w:rPr>
        <w:t>comprehensive</w:t>
      </w:r>
      <w:r>
        <w:rPr>
          <w:color w:val="0E0E0E"/>
          <w:spacing w:val="-8"/>
          <w:w w:val="105"/>
        </w:rPr>
        <w:t xml:space="preserve"> </w:t>
      </w:r>
      <w:r>
        <w:rPr>
          <w:color w:val="0E0E0E"/>
          <w:w w:val="105"/>
        </w:rPr>
        <w:t>visibility</w:t>
      </w:r>
      <w:r>
        <w:rPr>
          <w:color w:val="0E0E0E"/>
          <w:spacing w:val="-12"/>
          <w:w w:val="105"/>
        </w:rPr>
        <w:t xml:space="preserve"> </w:t>
      </w:r>
      <w:r>
        <w:rPr>
          <w:color w:val="0E0E0E"/>
          <w:w w:val="105"/>
        </w:rPr>
        <w:t>into</w:t>
      </w:r>
      <w:r>
        <w:rPr>
          <w:color w:val="0E0E0E"/>
          <w:spacing w:val="-20"/>
          <w:w w:val="105"/>
        </w:rPr>
        <w:t xml:space="preserve"> </w:t>
      </w:r>
      <w:r>
        <w:rPr>
          <w:color w:val="0E0E0E"/>
          <w:w w:val="105"/>
        </w:rPr>
        <w:t>research</w:t>
      </w:r>
      <w:r>
        <w:rPr>
          <w:color w:val="0E0E0E"/>
          <w:spacing w:val="-12"/>
          <w:w w:val="105"/>
        </w:rPr>
        <w:t xml:space="preserve"> </w:t>
      </w:r>
      <w:r>
        <w:rPr>
          <w:color w:val="0E0E0E"/>
          <w:w w:val="105"/>
        </w:rPr>
        <w:t>operations,</w:t>
      </w:r>
      <w:r>
        <w:rPr>
          <w:color w:val="0E0E0E"/>
          <w:spacing w:val="-10"/>
          <w:w w:val="105"/>
        </w:rPr>
        <w:t xml:space="preserve"> </w:t>
      </w:r>
      <w:r>
        <w:rPr>
          <w:color w:val="0E0E0E"/>
          <w:w w:val="105"/>
        </w:rPr>
        <w:t>increase</w:t>
      </w:r>
      <w:r>
        <w:rPr>
          <w:color w:val="0E0E0E"/>
          <w:spacing w:val="-16"/>
          <w:w w:val="105"/>
        </w:rPr>
        <w:t xml:space="preserve"> </w:t>
      </w:r>
      <w:r>
        <w:rPr>
          <w:color w:val="0E0E0E"/>
          <w:w w:val="105"/>
        </w:rPr>
        <w:t>financial</w:t>
      </w:r>
      <w:r>
        <w:rPr>
          <w:color w:val="0E0E0E"/>
          <w:spacing w:val="-12"/>
          <w:w w:val="105"/>
        </w:rPr>
        <w:t xml:space="preserve"> </w:t>
      </w:r>
      <w:r>
        <w:rPr>
          <w:color w:val="0E0E0E"/>
          <w:w w:val="105"/>
        </w:rPr>
        <w:t>viability.</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18A35CF9" w14:textId="46C83DCB" w:rsidR="00E7419C" w:rsidRDefault="00E7419C" w:rsidP="00E7419C">
      <w:pPr>
        <w:pStyle w:val="BodyText"/>
        <w:spacing w:before="47" w:line="247" w:lineRule="auto"/>
        <w:ind w:left="811" w:right="385" w:hanging="4"/>
        <w:rPr>
          <w:sz w:val="22"/>
          <w:szCs w:val="22"/>
        </w:rPr>
      </w:pPr>
      <w:r>
        <w:rPr>
          <w:color w:val="0E0E0E"/>
          <w:w w:val="105"/>
        </w:rPr>
        <w:t>Forte Eval is the only solution that brings all the data together to connect and report on it in a meaningful way. Forte Eval allows users to show publications results from specific grant funding to showcase research ROI to NIH, NCI, sponsors,</w:t>
      </w:r>
      <w:r>
        <w:rPr>
          <w:color w:val="0E0E0E"/>
          <w:spacing w:val="-7"/>
          <w:w w:val="105"/>
        </w:rPr>
        <w:t xml:space="preserve"> </w:t>
      </w:r>
      <w:r>
        <w:rPr>
          <w:color w:val="0E0E0E"/>
          <w:w w:val="105"/>
        </w:rPr>
        <w:t>internal</w:t>
      </w:r>
      <w:r>
        <w:rPr>
          <w:color w:val="0E0E0E"/>
          <w:spacing w:val="-13"/>
          <w:w w:val="105"/>
        </w:rPr>
        <w:t xml:space="preserve"> </w:t>
      </w:r>
      <w:r>
        <w:rPr>
          <w:color w:val="0E0E0E"/>
          <w:w w:val="105"/>
        </w:rPr>
        <w:t>stakeholders.</w:t>
      </w:r>
      <w:r>
        <w:rPr>
          <w:color w:val="0E0E0E"/>
          <w:spacing w:val="1"/>
          <w:w w:val="105"/>
        </w:rPr>
        <w:t xml:space="preserve"> </w:t>
      </w:r>
      <w:r>
        <w:rPr>
          <w:color w:val="0E0E0E"/>
          <w:w w:val="105"/>
        </w:rPr>
        <w:t>Forte</w:t>
      </w:r>
      <w:r>
        <w:rPr>
          <w:color w:val="0E0E0E"/>
          <w:spacing w:val="-15"/>
          <w:w w:val="105"/>
        </w:rPr>
        <w:t xml:space="preserve"> </w:t>
      </w:r>
      <w:r>
        <w:rPr>
          <w:color w:val="0E0E0E"/>
          <w:w w:val="105"/>
        </w:rPr>
        <w:t>Eval</w:t>
      </w:r>
      <w:r>
        <w:rPr>
          <w:color w:val="0E0E0E"/>
          <w:spacing w:val="-15"/>
          <w:w w:val="105"/>
        </w:rPr>
        <w:t xml:space="preserve"> </w:t>
      </w:r>
      <w:r>
        <w:rPr>
          <w:color w:val="0E0E0E"/>
          <w:w w:val="105"/>
        </w:rPr>
        <w:t>comes</w:t>
      </w:r>
      <w:r>
        <w:rPr>
          <w:color w:val="0E0E0E"/>
          <w:spacing w:val="-15"/>
          <w:w w:val="105"/>
        </w:rPr>
        <w:t xml:space="preserve"> </w:t>
      </w:r>
      <w:r>
        <w:rPr>
          <w:color w:val="0E0E0E"/>
          <w:w w:val="105"/>
        </w:rPr>
        <w:t>packaged</w:t>
      </w:r>
      <w:r>
        <w:rPr>
          <w:color w:val="0E0E0E"/>
          <w:spacing w:val="-12"/>
          <w:w w:val="105"/>
        </w:rPr>
        <w:t xml:space="preserve"> </w:t>
      </w:r>
      <w:r>
        <w:rPr>
          <w:color w:val="0E0E0E"/>
          <w:w w:val="105"/>
        </w:rPr>
        <w:t>with</w:t>
      </w:r>
      <w:r>
        <w:rPr>
          <w:color w:val="0E0E0E"/>
          <w:spacing w:val="-17"/>
          <w:w w:val="105"/>
        </w:rPr>
        <w:t xml:space="preserve"> </w:t>
      </w:r>
      <w:r>
        <w:rPr>
          <w:color w:val="0E0E0E"/>
          <w:w w:val="105"/>
        </w:rPr>
        <w:t>Forte</w:t>
      </w:r>
      <w:r>
        <w:rPr>
          <w:color w:val="0E0E0E"/>
          <w:spacing w:val="-13"/>
          <w:w w:val="105"/>
        </w:rPr>
        <w:t xml:space="preserve"> </w:t>
      </w:r>
      <w:r>
        <w:rPr>
          <w:color w:val="0E0E0E"/>
          <w:w w:val="105"/>
        </w:rPr>
        <w:t>Insights. Insights provides a robust reporting solution. Insights offers full-integrated, turnkey dashboards that give visibility into programs, staff, publications and more.</w:t>
      </w:r>
      <w:r>
        <w:rPr>
          <w:color w:val="0E0E0E"/>
          <w:spacing w:val="-18"/>
          <w:w w:val="105"/>
        </w:rPr>
        <w:t xml:space="preserve"> </w:t>
      </w:r>
      <w:r>
        <w:rPr>
          <w:color w:val="0E0E0E"/>
          <w:w w:val="105"/>
        </w:rPr>
        <w:t>Insights</w:t>
      </w:r>
      <w:r>
        <w:rPr>
          <w:color w:val="0E0E0E"/>
          <w:spacing w:val="-18"/>
          <w:w w:val="105"/>
        </w:rPr>
        <w:t xml:space="preserve"> </w:t>
      </w:r>
      <w:r>
        <w:rPr>
          <w:color w:val="0E0E0E"/>
          <w:w w:val="105"/>
        </w:rPr>
        <w:t>dashboards</w:t>
      </w:r>
      <w:r>
        <w:rPr>
          <w:color w:val="0E0E0E"/>
          <w:spacing w:val="-13"/>
          <w:w w:val="105"/>
        </w:rPr>
        <w:t xml:space="preserve"> </w:t>
      </w:r>
      <w:r>
        <w:rPr>
          <w:color w:val="0E0E0E"/>
          <w:w w:val="105"/>
        </w:rPr>
        <w:t>are</w:t>
      </w:r>
      <w:r>
        <w:rPr>
          <w:color w:val="0E0E0E"/>
          <w:spacing w:val="-24"/>
          <w:w w:val="105"/>
        </w:rPr>
        <w:t xml:space="preserve"> </w:t>
      </w:r>
      <w:r>
        <w:rPr>
          <w:color w:val="0E0E0E"/>
          <w:w w:val="105"/>
        </w:rPr>
        <w:t>ideal</w:t>
      </w:r>
      <w:r>
        <w:rPr>
          <w:color w:val="0E0E0E"/>
          <w:spacing w:val="-22"/>
          <w:w w:val="105"/>
        </w:rPr>
        <w:t xml:space="preserve"> </w:t>
      </w:r>
      <w:r>
        <w:rPr>
          <w:color w:val="0E0E0E"/>
          <w:w w:val="105"/>
        </w:rPr>
        <w:t>for</w:t>
      </w:r>
      <w:r>
        <w:rPr>
          <w:color w:val="0E0E0E"/>
          <w:spacing w:val="-20"/>
          <w:w w:val="105"/>
        </w:rPr>
        <w:t xml:space="preserve"> </w:t>
      </w:r>
      <w:r>
        <w:rPr>
          <w:color w:val="0E0E0E"/>
          <w:w w:val="105"/>
        </w:rPr>
        <w:t>grant</w:t>
      </w:r>
      <w:r>
        <w:rPr>
          <w:color w:val="0E0E0E"/>
          <w:spacing w:val="-18"/>
          <w:w w:val="105"/>
        </w:rPr>
        <w:t xml:space="preserve"> </w:t>
      </w:r>
      <w:r>
        <w:rPr>
          <w:color w:val="0E0E0E"/>
          <w:w w:val="105"/>
        </w:rPr>
        <w:t>applications</w:t>
      </w:r>
      <w:r>
        <w:rPr>
          <w:color w:val="0E0E0E"/>
          <w:spacing w:val="-10"/>
          <w:w w:val="105"/>
        </w:rPr>
        <w:t xml:space="preserve"> </w:t>
      </w:r>
      <w:r>
        <w:rPr>
          <w:color w:val="0E0E0E"/>
          <w:w w:val="105"/>
        </w:rPr>
        <w:t>and</w:t>
      </w:r>
      <w:r>
        <w:rPr>
          <w:color w:val="0E0E0E"/>
          <w:spacing w:val="-20"/>
          <w:w w:val="105"/>
        </w:rPr>
        <w:t xml:space="preserve"> </w:t>
      </w:r>
      <w:r>
        <w:rPr>
          <w:color w:val="0E0E0E"/>
          <w:w w:val="105"/>
        </w:rPr>
        <w:t>showing</w:t>
      </w:r>
      <w:r>
        <w:rPr>
          <w:color w:val="0E0E0E"/>
          <w:spacing w:val="-16"/>
          <w:w w:val="105"/>
        </w:rPr>
        <w:t xml:space="preserve"> </w:t>
      </w:r>
      <w:r>
        <w:rPr>
          <w:color w:val="0E0E0E"/>
          <w:w w:val="105"/>
        </w:rPr>
        <w:t>progress.</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3C89EDB4" w14:textId="77777777" w:rsidR="00E7419C" w:rsidRDefault="00E7419C" w:rsidP="00E7419C">
      <w:pPr>
        <w:pStyle w:val="BodyText"/>
        <w:spacing w:before="72" w:line="247" w:lineRule="auto"/>
        <w:ind w:left="811" w:right="387" w:firstLine="1"/>
        <w:rPr>
          <w:sz w:val="22"/>
          <w:szCs w:val="22"/>
        </w:rPr>
      </w:pPr>
      <w:r>
        <w:rPr>
          <w:color w:val="0E0E0E"/>
          <w:w w:val="105"/>
        </w:rPr>
        <w:t>EVAL is uniquely developed to help research institutions during grant applications</w:t>
      </w:r>
      <w:r>
        <w:rPr>
          <w:color w:val="0E0E0E"/>
          <w:spacing w:val="-3"/>
          <w:w w:val="105"/>
        </w:rPr>
        <w:t xml:space="preserve"> </w:t>
      </w:r>
      <w:r>
        <w:rPr>
          <w:color w:val="0E0E0E"/>
          <w:w w:val="105"/>
        </w:rPr>
        <w:t>and</w:t>
      </w:r>
      <w:r>
        <w:rPr>
          <w:color w:val="0E0E0E"/>
          <w:spacing w:val="-12"/>
          <w:w w:val="105"/>
        </w:rPr>
        <w:t xml:space="preserve"> </w:t>
      </w:r>
      <w:r>
        <w:rPr>
          <w:color w:val="0E0E0E"/>
          <w:w w:val="105"/>
        </w:rPr>
        <w:t>renewal</w:t>
      </w:r>
      <w:r>
        <w:rPr>
          <w:color w:val="0E0E0E"/>
          <w:spacing w:val="-10"/>
          <w:w w:val="105"/>
        </w:rPr>
        <w:t xml:space="preserve"> </w:t>
      </w:r>
      <w:r>
        <w:rPr>
          <w:color w:val="0E0E0E"/>
          <w:w w:val="105"/>
        </w:rPr>
        <w:t>processes</w:t>
      </w:r>
      <w:r>
        <w:rPr>
          <w:color w:val="0E0E0E"/>
          <w:spacing w:val="-5"/>
          <w:w w:val="105"/>
        </w:rPr>
        <w:t xml:space="preserve"> </w:t>
      </w:r>
      <w:r>
        <w:rPr>
          <w:color w:val="0E0E0E"/>
          <w:w w:val="105"/>
        </w:rPr>
        <w:t>by</w:t>
      </w:r>
      <w:r>
        <w:rPr>
          <w:color w:val="0E0E0E"/>
          <w:spacing w:val="-7"/>
          <w:w w:val="105"/>
        </w:rPr>
        <w:t xml:space="preserve"> </w:t>
      </w:r>
      <w:r>
        <w:rPr>
          <w:color w:val="0E0E0E"/>
          <w:w w:val="105"/>
        </w:rPr>
        <w:t>storing</w:t>
      </w:r>
      <w:r>
        <w:rPr>
          <w:color w:val="0E0E0E"/>
          <w:spacing w:val="-9"/>
          <w:w w:val="105"/>
        </w:rPr>
        <w:t xml:space="preserve"> </w:t>
      </w:r>
      <w:r>
        <w:rPr>
          <w:color w:val="0E0E0E"/>
          <w:w w:val="105"/>
        </w:rPr>
        <w:t>critical</w:t>
      </w:r>
      <w:r>
        <w:rPr>
          <w:color w:val="0E0E0E"/>
          <w:spacing w:val="-18"/>
          <w:w w:val="105"/>
        </w:rPr>
        <w:t xml:space="preserve"> </w:t>
      </w:r>
      <w:r>
        <w:rPr>
          <w:color w:val="0E0E0E"/>
          <w:w w:val="105"/>
        </w:rPr>
        <w:t>data</w:t>
      </w:r>
      <w:r>
        <w:rPr>
          <w:color w:val="0E0E0E"/>
          <w:spacing w:val="-8"/>
          <w:w w:val="105"/>
        </w:rPr>
        <w:t xml:space="preserve"> </w:t>
      </w:r>
      <w:r>
        <w:rPr>
          <w:color w:val="0E0E0E"/>
          <w:w w:val="105"/>
        </w:rPr>
        <w:t>and</w:t>
      </w:r>
      <w:r>
        <w:rPr>
          <w:color w:val="0E0E0E"/>
          <w:spacing w:val="-11"/>
          <w:w w:val="105"/>
        </w:rPr>
        <w:t xml:space="preserve"> </w:t>
      </w:r>
      <w:r>
        <w:rPr>
          <w:color w:val="0E0E0E"/>
          <w:w w:val="105"/>
        </w:rPr>
        <w:t>reporting</w:t>
      </w:r>
      <w:r>
        <w:rPr>
          <w:color w:val="0E0E0E"/>
          <w:spacing w:val="-3"/>
          <w:w w:val="105"/>
        </w:rPr>
        <w:t xml:space="preserve"> </w:t>
      </w:r>
      <w:r>
        <w:rPr>
          <w:color w:val="0E0E0E"/>
          <w:w w:val="105"/>
        </w:rPr>
        <w:t>on</w:t>
      </w:r>
      <w:r>
        <w:rPr>
          <w:color w:val="0E0E0E"/>
          <w:spacing w:val="-21"/>
          <w:w w:val="105"/>
        </w:rPr>
        <w:t xml:space="preserve"> </w:t>
      </w:r>
      <w:r>
        <w:rPr>
          <w:color w:val="0E0E0E"/>
          <w:w w:val="105"/>
        </w:rPr>
        <w:t xml:space="preserve">key metrics required for CCSG (including data tables 1 </w:t>
      </w:r>
      <w:r>
        <w:rPr>
          <w:color w:val="0E0E0E"/>
          <w:w w:val="105"/>
          <w:sz w:val="21"/>
        </w:rPr>
        <w:t xml:space="preserve">&amp; </w:t>
      </w:r>
      <w:r>
        <w:rPr>
          <w:color w:val="0E0E0E"/>
          <w:w w:val="105"/>
        </w:rPr>
        <w:t>2) and CTSA (including Common Metrics). EVAL is designed for enterprise use across multiple units within an organization, and helps gather and centralize critical data to make grant applications and renewal processes run smoothly across teams. Forte is the sole licensor of Forte EVAL. Forte does not have or utilize any third-party resellers and does not authorize any other party to license or sub</w:t>
      </w:r>
      <w:r>
        <w:rPr>
          <w:color w:val="282828"/>
          <w:w w:val="105"/>
        </w:rPr>
        <w:t>-</w:t>
      </w:r>
      <w:r>
        <w:rPr>
          <w:color w:val="0E0E0E"/>
          <w:w w:val="105"/>
        </w:rPr>
        <w:t>licenseForte EVAL on its</w:t>
      </w:r>
      <w:r>
        <w:rPr>
          <w:color w:val="0E0E0E"/>
          <w:spacing w:val="-31"/>
          <w:w w:val="105"/>
        </w:rPr>
        <w:t xml:space="preserve"> </w:t>
      </w:r>
      <w:r>
        <w:rPr>
          <w:color w:val="0E0E0E"/>
          <w:w w:val="105"/>
        </w:rPr>
        <w:t>behalf.</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660B65C" w14:textId="2506F793"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E7419C">
        <w:rPr>
          <w:rFonts w:ascii="Times New Roman" w:hAnsi="Times New Roman" w:cs="Times New Roman"/>
          <w:sz w:val="24"/>
          <w:szCs w:val="24"/>
        </w:rPr>
        <w:t>Forte Research System, Inc.</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E7419C">
        <w:rPr>
          <w:rFonts w:ascii="Times New Roman" w:eastAsia="Times New Roman" w:hAnsi="Times New Roman" w:cs="Times New Roman"/>
          <w:sz w:val="24"/>
          <w:szCs w:val="24"/>
        </w:rPr>
        <w:t>Forte Eval</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16CF2">
        <w:rPr>
          <w:rFonts w:ascii="Times New Roman" w:hAnsi="Times New Roman" w:cs="Times New Roman"/>
          <w:b/>
          <w:bCs/>
          <w:color w:val="FF0000"/>
          <w:sz w:val="24"/>
          <w:szCs w:val="24"/>
        </w:rPr>
        <w:t>$</w:t>
      </w:r>
      <w:r w:rsidR="00E7419C">
        <w:rPr>
          <w:rFonts w:ascii="Times New Roman" w:hAnsi="Times New Roman" w:cs="Times New Roman"/>
          <w:b/>
          <w:bCs/>
          <w:color w:val="FF0000"/>
          <w:sz w:val="24"/>
          <w:szCs w:val="24"/>
        </w:rPr>
        <w:t>235,500.00</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8C2E900" w:rsidR="002D2B69" w:rsidRDefault="002D2B69" w:rsidP="002D2B69">
      <w:r>
        <w:t xml:space="preserve">Interested parties who have reason to believe that the </w:t>
      </w:r>
      <w:r w:rsidR="000E43BD">
        <w:t>Forte Eval</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616CF2">
        <w:rPr>
          <w:color w:val="FF0000"/>
        </w:rPr>
        <w:t xml:space="preserve">to </w:t>
      </w:r>
      <w:r w:rsidR="000E43BD">
        <w:rPr>
          <w:color w:val="FF0000"/>
        </w:rPr>
        <w:t>Forte Research Systems, Inc.</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400B00E" w:rsidR="002D2B69" w:rsidRDefault="002D2B69" w:rsidP="00DC566D">
      <w:r>
        <w:t xml:space="preserve">Comments will be accepted at any time prior to </w:t>
      </w:r>
      <w:r w:rsidR="000E43BD">
        <w:t>Thursday, February 21,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DF8F049" w:rsidR="002D2B69" w:rsidRDefault="002D2B69" w:rsidP="002D2B69">
                            <w:pPr>
                              <w:ind w:left="540" w:right="525"/>
                              <w:jc w:val="center"/>
                              <w:rPr>
                                <w:b/>
                              </w:rPr>
                            </w:pPr>
                            <w:r w:rsidRPr="00DC3864">
                              <w:rPr>
                                <w:b/>
                              </w:rPr>
                              <w:t xml:space="preserve">Sole Source Certification No. </w:t>
                            </w:r>
                            <w:r w:rsidR="001B22B0">
                              <w:rPr>
                                <w:b/>
                              </w:rPr>
                              <w:t>SS</w:t>
                            </w:r>
                            <w:r w:rsidR="000E43BD">
                              <w:rPr>
                                <w:b/>
                              </w:rPr>
                              <w:t>9144</w:t>
                            </w:r>
                          </w:p>
                          <w:p w14:paraId="23732217" w14:textId="77777777" w:rsidR="00026285" w:rsidRPr="00DC3864" w:rsidRDefault="00026285" w:rsidP="002D2B69">
                            <w:pPr>
                              <w:ind w:left="540" w:right="525"/>
                              <w:jc w:val="center"/>
                              <w:rPr>
                                <w:b/>
                              </w:rPr>
                            </w:pPr>
                          </w:p>
                          <w:p w14:paraId="20940D37" w14:textId="58A10133" w:rsidR="002D2B69" w:rsidRPr="00DC3864" w:rsidRDefault="002D2B69" w:rsidP="002D2B69">
                            <w:pPr>
                              <w:ind w:left="540" w:right="525"/>
                              <w:jc w:val="center"/>
                              <w:rPr>
                                <w:b/>
                              </w:rPr>
                            </w:pPr>
                            <w:r w:rsidRPr="00DC3864">
                              <w:rPr>
                                <w:b/>
                              </w:rPr>
                              <w:t xml:space="preserve">Accepted until </w:t>
                            </w:r>
                            <w:r w:rsidR="000E43BD">
                              <w:rPr>
                                <w:b/>
                              </w:rPr>
                              <w:t>Thursday, February 21,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DF8F049" w:rsidR="002D2B69" w:rsidRDefault="002D2B69" w:rsidP="002D2B69">
                      <w:pPr>
                        <w:ind w:left="540" w:right="525"/>
                        <w:jc w:val="center"/>
                        <w:rPr>
                          <w:b/>
                        </w:rPr>
                      </w:pPr>
                      <w:r w:rsidRPr="00DC3864">
                        <w:rPr>
                          <w:b/>
                        </w:rPr>
                        <w:t xml:space="preserve">Sole Source Certification No. </w:t>
                      </w:r>
                      <w:r w:rsidR="001B22B0">
                        <w:rPr>
                          <w:b/>
                        </w:rPr>
                        <w:t>SS</w:t>
                      </w:r>
                      <w:r w:rsidR="000E43BD">
                        <w:rPr>
                          <w:b/>
                        </w:rPr>
                        <w:t>9144</w:t>
                      </w:r>
                    </w:p>
                    <w:p w14:paraId="23732217" w14:textId="77777777" w:rsidR="00026285" w:rsidRPr="00DC3864" w:rsidRDefault="00026285" w:rsidP="002D2B69">
                      <w:pPr>
                        <w:ind w:left="540" w:right="525"/>
                        <w:jc w:val="center"/>
                        <w:rPr>
                          <w:b/>
                        </w:rPr>
                      </w:pPr>
                    </w:p>
                    <w:p w14:paraId="20940D37" w14:textId="58A10133" w:rsidR="002D2B69" w:rsidRPr="00DC3864" w:rsidRDefault="002D2B69" w:rsidP="002D2B69">
                      <w:pPr>
                        <w:ind w:left="540" w:right="525"/>
                        <w:jc w:val="center"/>
                        <w:rPr>
                          <w:b/>
                        </w:rPr>
                      </w:pPr>
                      <w:r w:rsidRPr="00DC3864">
                        <w:rPr>
                          <w:b/>
                        </w:rPr>
                        <w:t xml:space="preserve">Accepted until </w:t>
                      </w:r>
                      <w:r w:rsidR="000E43BD">
                        <w:rPr>
                          <w:b/>
                        </w:rPr>
                        <w:t>Thursday, February 21,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0E43BD"/>
    <w:rsid w:val="001B22B0"/>
    <w:rsid w:val="002D2405"/>
    <w:rsid w:val="002D2B69"/>
    <w:rsid w:val="002F1534"/>
    <w:rsid w:val="00600E14"/>
    <w:rsid w:val="00616CF2"/>
    <w:rsid w:val="006624AB"/>
    <w:rsid w:val="006653BF"/>
    <w:rsid w:val="006B61DB"/>
    <w:rsid w:val="006F31B1"/>
    <w:rsid w:val="00714915"/>
    <w:rsid w:val="00765458"/>
    <w:rsid w:val="00923482"/>
    <w:rsid w:val="009415BF"/>
    <w:rsid w:val="009B01B7"/>
    <w:rsid w:val="009D150D"/>
    <w:rsid w:val="00A70889"/>
    <w:rsid w:val="00AA70D0"/>
    <w:rsid w:val="00AF2D42"/>
    <w:rsid w:val="00AF6FB6"/>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7419C"/>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2</cp:revision>
  <cp:lastPrinted>2017-06-20T21:17:00Z</cp:lastPrinted>
  <dcterms:created xsi:type="dcterms:W3CDTF">2019-02-01T20:51:00Z</dcterms:created>
  <dcterms:modified xsi:type="dcterms:W3CDTF">2019-02-01T20:51:00Z</dcterms:modified>
</cp:coreProperties>
</file>