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8FEF" w14:textId="3A4833CC" w:rsidR="002D4198" w:rsidRPr="00343EC6" w:rsidRDefault="00FE465E" w:rsidP="002D4198">
      <w:pPr>
        <w:pStyle w:val="Heading1"/>
        <w:ind w:firstLine="846"/>
        <w:jc w:val="center"/>
        <w:rPr>
          <w:b w:val="0"/>
          <w:bCs w:val="0"/>
          <w:color w:val="auto"/>
        </w:rPr>
      </w:pPr>
      <w:bookmarkStart w:id="0" w:name="_Toc409648165"/>
      <w:bookmarkStart w:id="1" w:name="_Toc410024697"/>
      <w:bookmarkStart w:id="2" w:name="_Toc410025111"/>
      <w:bookmarkStart w:id="3" w:name="_Toc410391692"/>
      <w:bookmarkStart w:id="4" w:name="_Toc464831560"/>
      <w:bookmarkStart w:id="5" w:name="_Toc95396099"/>
      <w:bookmarkStart w:id="6" w:name="_Toc118884081"/>
      <w:r w:rsidRPr="00343EC6">
        <w:rPr>
          <w:b w:val="0"/>
          <w:bCs w:val="0"/>
          <w:color w:val="auto"/>
        </w:rPr>
        <w:t>Appendix A</w:t>
      </w:r>
      <w:r w:rsidR="002D4198" w:rsidRPr="00343EC6">
        <w:rPr>
          <w:b w:val="0"/>
          <w:bCs w:val="0"/>
          <w:color w:val="auto"/>
        </w:rPr>
        <w:t xml:space="preserve"> -</w:t>
      </w:r>
      <w:r w:rsidR="00166A0C">
        <w:rPr>
          <w:b w:val="0"/>
          <w:bCs w:val="0"/>
          <w:color w:val="auto"/>
        </w:rPr>
        <w:t xml:space="preserve"> </w:t>
      </w:r>
      <w:r w:rsidR="00166A0C" w:rsidRPr="00166A0C">
        <w:rPr>
          <w:b w:val="0"/>
          <w:bCs w:val="0"/>
          <w:color w:val="FF0000"/>
        </w:rPr>
        <w:t>REVISED</w:t>
      </w:r>
      <w:r w:rsidR="002D4198" w:rsidRPr="00343EC6">
        <w:rPr>
          <w:b w:val="0"/>
          <w:bCs w:val="0"/>
          <w:color w:val="auto"/>
        </w:rPr>
        <w:t xml:space="preserve"> </w:t>
      </w:r>
      <w:bookmarkEnd w:id="0"/>
      <w:bookmarkEnd w:id="1"/>
      <w:bookmarkEnd w:id="2"/>
      <w:bookmarkEnd w:id="3"/>
      <w:bookmarkEnd w:id="4"/>
      <w:bookmarkEnd w:id="5"/>
      <w:r w:rsidR="002D4198" w:rsidRPr="00343EC6">
        <w:rPr>
          <w:b w:val="0"/>
          <w:bCs w:val="0"/>
          <w:color w:val="auto"/>
        </w:rPr>
        <w:t>Bid Form</w:t>
      </w:r>
      <w:bookmarkEnd w:id="6"/>
    </w:p>
    <w:p w14:paraId="648A055A" w14:textId="4F3E7CD6" w:rsidR="00FE465E" w:rsidRPr="00343EC6" w:rsidRDefault="00FE465E" w:rsidP="00A12618"/>
    <w:p w14:paraId="72D4C6CC" w14:textId="77777777" w:rsidR="002D4198" w:rsidRPr="001F1197" w:rsidRDefault="002D4198" w:rsidP="002D4198">
      <w:pPr>
        <w:jc w:val="both"/>
        <w:rPr>
          <w:b/>
          <w:szCs w:val="22"/>
        </w:rPr>
      </w:pPr>
    </w:p>
    <w:p w14:paraId="67DB6D6D" w14:textId="77777777" w:rsidR="002D4198" w:rsidRDefault="002D4198" w:rsidP="002D4198">
      <w:r w:rsidRPr="00EE2757">
        <w:t>Compensation for services shall be in the form of a firm fixed-rate agreement.</w:t>
      </w:r>
      <w:r>
        <w:t xml:space="preserve"> Through submission of this form and accompanying Addendum 1: Minimum Qualifications and Addendum 2: Capability to Provide Services, the Bidder certifies the following:</w:t>
      </w:r>
    </w:p>
    <w:p w14:paraId="6801EF66" w14:textId="77777777" w:rsidR="002D4198" w:rsidRPr="00450393" w:rsidRDefault="002D4198" w:rsidP="002D4198">
      <w:pPr>
        <w:pStyle w:val="BodyText"/>
        <w:jc w:val="both"/>
        <w:rPr>
          <w:rFonts w:ascii="Times New Roman" w:hAnsi="Times New Roman"/>
          <w:sz w:val="22"/>
        </w:rPr>
      </w:pPr>
    </w:p>
    <w:p w14:paraId="2D49FF1D" w14:textId="77777777" w:rsidR="002D4198" w:rsidRPr="002107E3" w:rsidRDefault="002D4198" w:rsidP="002D4198">
      <w:pPr>
        <w:pStyle w:val="BodyText"/>
        <w:numPr>
          <w:ilvl w:val="0"/>
          <w:numId w:val="1"/>
        </w:numPr>
        <w:ind w:left="360" w:hanging="270"/>
        <w:jc w:val="both"/>
        <w:rPr>
          <w:rFonts w:ascii="Times New Roman" w:hAnsi="Times New Roman"/>
          <w:bCs/>
          <w:sz w:val="22"/>
          <w:szCs w:val="22"/>
        </w:rPr>
      </w:pPr>
      <w:r w:rsidRPr="00AA3FDD">
        <w:rPr>
          <w:rFonts w:ascii="Times New Roman" w:hAnsi="Times New Roman"/>
          <w:bCs/>
          <w:sz w:val="22"/>
          <w:szCs w:val="22"/>
        </w:rPr>
        <w:t xml:space="preserve">The Bidder shall accept an award made </w:t>
      </w:r>
      <w:proofErr w:type="gramStart"/>
      <w:r w:rsidRPr="00AA3FDD">
        <w:rPr>
          <w:rFonts w:ascii="Times New Roman" w:hAnsi="Times New Roman"/>
          <w:bCs/>
          <w:sz w:val="22"/>
          <w:szCs w:val="22"/>
        </w:rPr>
        <w:t>as a result of</w:t>
      </w:r>
      <w:proofErr w:type="gramEnd"/>
      <w:r w:rsidRPr="00AA3FDD">
        <w:rPr>
          <w:rFonts w:ascii="Times New Roman" w:hAnsi="Times New Roman"/>
          <w:bCs/>
          <w:sz w:val="22"/>
          <w:szCs w:val="22"/>
        </w:rPr>
        <w:t xml:space="preserve"> the submission. </w:t>
      </w:r>
    </w:p>
    <w:p w14:paraId="0ACCB3F6" w14:textId="77777777" w:rsidR="002D4198" w:rsidRDefault="002D4198" w:rsidP="002D4198">
      <w:pPr>
        <w:pStyle w:val="BodyText"/>
        <w:numPr>
          <w:ilvl w:val="0"/>
          <w:numId w:val="1"/>
        </w:numPr>
        <w:ind w:left="360" w:hanging="270"/>
        <w:jc w:val="both"/>
        <w:rPr>
          <w:rFonts w:ascii="Times New Roman" w:hAnsi="Times New Roman"/>
          <w:bCs/>
          <w:sz w:val="22"/>
          <w:szCs w:val="22"/>
        </w:rPr>
      </w:pPr>
      <w:r>
        <w:rPr>
          <w:rFonts w:ascii="Times New Roman" w:hAnsi="Times New Roman"/>
          <w:bCs/>
          <w:sz w:val="22"/>
          <w:szCs w:val="22"/>
        </w:rPr>
        <w:t>The</w:t>
      </w:r>
      <w:r w:rsidRPr="00AA3FDD">
        <w:rPr>
          <w:rFonts w:ascii="Times New Roman" w:hAnsi="Times New Roman"/>
          <w:bCs/>
          <w:sz w:val="22"/>
          <w:szCs w:val="22"/>
        </w:rPr>
        <w:t xml:space="preserve"> Bidder is registered to do business in the State of</w:t>
      </w:r>
      <w:r>
        <w:rPr>
          <w:rFonts w:ascii="Times New Roman" w:hAnsi="Times New Roman"/>
          <w:bCs/>
          <w:sz w:val="22"/>
          <w:szCs w:val="22"/>
        </w:rPr>
        <w:t xml:space="preserve"> </w:t>
      </w:r>
      <w:r w:rsidRPr="007475D2">
        <w:rPr>
          <w:rFonts w:ascii="Times New Roman" w:hAnsi="Times New Roman"/>
          <w:bCs/>
          <w:sz w:val="22"/>
          <w:szCs w:val="22"/>
        </w:rPr>
        <w:t>Mississippi as prescribed by the Mississippi Secretary of State.</w:t>
      </w:r>
      <w:r w:rsidRPr="007475D2">
        <w:rPr>
          <w:rFonts w:ascii="Times New Roman" w:hAnsi="Times New Roman"/>
          <w:bCs/>
          <w:sz w:val="22"/>
          <w:szCs w:val="22"/>
        </w:rPr>
        <w:tab/>
      </w:r>
    </w:p>
    <w:p w14:paraId="6A208F39" w14:textId="77777777" w:rsidR="002D4198" w:rsidRPr="00475231" w:rsidRDefault="002D4198" w:rsidP="002D4198">
      <w:pPr>
        <w:pStyle w:val="BodyText"/>
        <w:numPr>
          <w:ilvl w:val="0"/>
          <w:numId w:val="1"/>
        </w:numPr>
        <w:ind w:left="360" w:hanging="270"/>
        <w:jc w:val="both"/>
        <w:rPr>
          <w:rFonts w:ascii="Times New Roman" w:hAnsi="Times New Roman"/>
          <w:sz w:val="22"/>
          <w:szCs w:val="22"/>
        </w:rPr>
      </w:pPr>
      <w:r w:rsidRPr="0ED6DEA7">
        <w:rPr>
          <w:rFonts w:ascii="Times New Roman" w:hAnsi="Times New Roman"/>
          <w:sz w:val="22"/>
          <w:szCs w:val="22"/>
        </w:rPr>
        <w:t>The Bidder has not been sanctioned by a state or federal government within the last 10 years.</w:t>
      </w:r>
    </w:p>
    <w:p w14:paraId="7E237A02" w14:textId="77777777" w:rsidR="002D4198" w:rsidRDefault="002D4198" w:rsidP="002D4198">
      <w:pPr>
        <w:pStyle w:val="BodyText"/>
        <w:numPr>
          <w:ilvl w:val="0"/>
          <w:numId w:val="1"/>
        </w:numPr>
        <w:ind w:left="360" w:hanging="270"/>
        <w:jc w:val="both"/>
        <w:rPr>
          <w:rFonts w:ascii="Times New Roman" w:hAnsi="Times New Roman"/>
          <w:bCs/>
          <w:sz w:val="22"/>
          <w:szCs w:val="22"/>
        </w:rPr>
      </w:pPr>
      <w:r>
        <w:rPr>
          <w:rFonts w:ascii="Times New Roman" w:hAnsi="Times New Roman"/>
          <w:bCs/>
          <w:sz w:val="22"/>
          <w:szCs w:val="22"/>
        </w:rPr>
        <w:t>The Bidder has a minimum of five years of experience in contractual services providing the type of services described in this IFB.</w:t>
      </w:r>
    </w:p>
    <w:p w14:paraId="320CAC0B" w14:textId="77777777" w:rsidR="002D4198" w:rsidRDefault="002D4198" w:rsidP="002D4198">
      <w:pPr>
        <w:pStyle w:val="BodyText"/>
        <w:numPr>
          <w:ilvl w:val="0"/>
          <w:numId w:val="1"/>
        </w:numPr>
        <w:ind w:left="360" w:hanging="270"/>
        <w:jc w:val="both"/>
        <w:rPr>
          <w:rFonts w:ascii="Times New Roman" w:hAnsi="Times New Roman"/>
          <w:sz w:val="22"/>
          <w:szCs w:val="22"/>
        </w:rPr>
      </w:pPr>
      <w:r w:rsidRPr="4E28DA0D">
        <w:rPr>
          <w:rFonts w:ascii="Times New Roman" w:hAnsi="Times New Roman"/>
          <w:sz w:val="22"/>
          <w:szCs w:val="22"/>
        </w:rPr>
        <w:t xml:space="preserve">The Bidder has read, </w:t>
      </w:r>
      <w:proofErr w:type="gramStart"/>
      <w:r w:rsidRPr="4E28DA0D">
        <w:rPr>
          <w:rFonts w:ascii="Times New Roman" w:hAnsi="Times New Roman"/>
          <w:sz w:val="22"/>
          <w:szCs w:val="22"/>
        </w:rPr>
        <w:t>understands</w:t>
      </w:r>
      <w:proofErr w:type="gramEnd"/>
      <w:r w:rsidRPr="4E28DA0D">
        <w:rPr>
          <w:rFonts w:ascii="Times New Roman" w:hAnsi="Times New Roman"/>
          <w:sz w:val="22"/>
          <w:szCs w:val="22"/>
        </w:rPr>
        <w:t xml:space="preserve"> and agrees to all provisions of this IFB without reservation and without expectation of negotiation and is able to provide each required component and deliverable as detailed in the Scope of Services.</w:t>
      </w:r>
    </w:p>
    <w:tbl>
      <w:tblPr>
        <w:tblStyle w:val="TableGrid"/>
        <w:tblW w:w="9350" w:type="dxa"/>
        <w:tblLook w:val="04A0" w:firstRow="1" w:lastRow="0" w:firstColumn="1" w:lastColumn="0" w:noHBand="0" w:noVBand="1"/>
      </w:tblPr>
      <w:tblGrid>
        <w:gridCol w:w="1890"/>
        <w:gridCol w:w="1386"/>
        <w:gridCol w:w="1543"/>
        <w:gridCol w:w="1527"/>
        <w:gridCol w:w="1528"/>
        <w:gridCol w:w="1476"/>
      </w:tblGrid>
      <w:tr w:rsidR="002D4198" w14:paraId="7D0307E7" w14:textId="77777777" w:rsidTr="4E28DA0D">
        <w:tc>
          <w:tcPr>
            <w:tcW w:w="9350" w:type="dxa"/>
            <w:gridSpan w:val="6"/>
            <w:shd w:val="clear" w:color="auto" w:fill="2F5496" w:themeFill="accent1" w:themeFillShade="BF"/>
          </w:tcPr>
          <w:p w14:paraId="09159BB2" w14:textId="478E33E3" w:rsidR="002D4198" w:rsidRPr="002D4198" w:rsidRDefault="001F6CD0" w:rsidP="002D4198">
            <w:pPr>
              <w:ind w:left="1080"/>
              <w:jc w:val="center"/>
              <w:rPr>
                <w:b/>
                <w:color w:val="FFFFFF" w:themeColor="background1"/>
                <w:sz w:val="24"/>
                <w:szCs w:val="24"/>
              </w:rPr>
            </w:pPr>
            <w:r>
              <w:rPr>
                <w:b/>
                <w:color w:val="FFFFFF" w:themeColor="background1"/>
                <w:sz w:val="24"/>
                <w:szCs w:val="24"/>
              </w:rPr>
              <w:t>R</w:t>
            </w:r>
            <w:r>
              <w:rPr>
                <w:color w:val="FFFFFF" w:themeColor="background1"/>
                <w:sz w:val="24"/>
                <w:szCs w:val="24"/>
              </w:rPr>
              <w:t xml:space="preserve">evised: </w:t>
            </w:r>
            <w:r w:rsidR="002D4198" w:rsidRPr="002D4198">
              <w:rPr>
                <w:b/>
                <w:color w:val="FFFFFF" w:themeColor="background1"/>
                <w:sz w:val="24"/>
                <w:szCs w:val="24"/>
              </w:rPr>
              <w:t>Bid Form</w:t>
            </w:r>
          </w:p>
          <w:p w14:paraId="1D02ACBF" w14:textId="77777777" w:rsidR="002D4198" w:rsidRPr="002D4198" w:rsidRDefault="002D4198" w:rsidP="002D4198">
            <w:pPr>
              <w:ind w:left="1080"/>
              <w:jc w:val="center"/>
              <w:rPr>
                <w:b/>
                <w:color w:val="FFFFFF" w:themeColor="background1"/>
                <w:sz w:val="24"/>
                <w:szCs w:val="24"/>
              </w:rPr>
            </w:pPr>
          </w:p>
          <w:p w14:paraId="0AA9CDE4" w14:textId="77777777" w:rsidR="002D4198" w:rsidRPr="002D4198" w:rsidRDefault="002D4198" w:rsidP="002D4198">
            <w:pPr>
              <w:ind w:left="1080"/>
              <w:jc w:val="center"/>
              <w:rPr>
                <w:b/>
                <w:color w:val="FFFFFF" w:themeColor="background1"/>
                <w:sz w:val="24"/>
                <w:szCs w:val="24"/>
              </w:rPr>
            </w:pPr>
            <w:r w:rsidRPr="002D4198">
              <w:rPr>
                <w:b/>
                <w:color w:val="FFFFFF" w:themeColor="background1"/>
                <w:sz w:val="24"/>
                <w:szCs w:val="24"/>
              </w:rPr>
              <w:t>Payment Methodology Services</w:t>
            </w:r>
          </w:p>
          <w:p w14:paraId="75F2C1D5" w14:textId="1D3FB38B" w:rsidR="002D4198" w:rsidRPr="002D4198" w:rsidRDefault="002D4198" w:rsidP="002D4198">
            <w:pPr>
              <w:ind w:left="1080"/>
              <w:jc w:val="center"/>
              <w:rPr>
                <w:b/>
                <w:color w:val="FFFFFF" w:themeColor="background1"/>
                <w:sz w:val="24"/>
                <w:szCs w:val="24"/>
              </w:rPr>
            </w:pPr>
            <w:r w:rsidRPr="002D4198">
              <w:rPr>
                <w:b/>
                <w:color w:val="FFFFFF" w:themeColor="background1"/>
                <w:sz w:val="24"/>
                <w:szCs w:val="24"/>
              </w:rPr>
              <w:t>IFB #20221110</w:t>
            </w:r>
          </w:p>
        </w:tc>
      </w:tr>
      <w:tr w:rsidR="002D4198" w14:paraId="308916A2" w14:textId="77777777" w:rsidTr="4E28DA0D">
        <w:tc>
          <w:tcPr>
            <w:tcW w:w="9350" w:type="dxa"/>
            <w:gridSpan w:val="6"/>
            <w:shd w:val="clear" w:color="auto" w:fill="auto"/>
          </w:tcPr>
          <w:p w14:paraId="50859A9B" w14:textId="793BAD17" w:rsidR="002D4198" w:rsidRDefault="002D4198">
            <w:r>
              <w:t>Bidder Name:</w:t>
            </w:r>
          </w:p>
        </w:tc>
      </w:tr>
      <w:tr w:rsidR="002D4198" w14:paraId="4891C36C" w14:textId="77777777" w:rsidTr="4E28DA0D">
        <w:trPr>
          <w:trHeight w:val="827"/>
        </w:trPr>
        <w:tc>
          <w:tcPr>
            <w:tcW w:w="1890" w:type="dxa"/>
            <w:vAlign w:val="center"/>
          </w:tcPr>
          <w:p w14:paraId="16361507" w14:textId="356D917B" w:rsidR="002D4198" w:rsidRPr="002D4198" w:rsidRDefault="002D4198" w:rsidP="002D4198">
            <w:pPr>
              <w:jc w:val="center"/>
              <w:rPr>
                <w:b/>
                <w:bCs/>
              </w:rPr>
            </w:pPr>
            <w:r w:rsidRPr="002D4198">
              <w:rPr>
                <w:b/>
                <w:bCs/>
              </w:rPr>
              <w:t>COMPONENTS</w:t>
            </w:r>
          </w:p>
        </w:tc>
        <w:tc>
          <w:tcPr>
            <w:tcW w:w="1386" w:type="dxa"/>
          </w:tcPr>
          <w:p w14:paraId="5CF01AAD" w14:textId="77777777" w:rsidR="002D4198" w:rsidRPr="002D4198" w:rsidRDefault="002D4198">
            <w:pPr>
              <w:rPr>
                <w:b/>
                <w:bCs/>
              </w:rPr>
            </w:pPr>
            <w:r w:rsidRPr="002D4198">
              <w:rPr>
                <w:b/>
                <w:bCs/>
              </w:rPr>
              <w:t>ANNUAL RATE</w:t>
            </w:r>
          </w:p>
          <w:p w14:paraId="33D16EA8" w14:textId="2D551402" w:rsidR="002D4198" w:rsidRPr="002D4198" w:rsidRDefault="002D4198">
            <w:pPr>
              <w:rPr>
                <w:i/>
                <w:iCs/>
                <w:sz w:val="20"/>
              </w:rPr>
            </w:pPr>
            <w:r w:rsidRPr="002D4198">
              <w:rPr>
                <w:i/>
                <w:iCs/>
                <w:sz w:val="20"/>
              </w:rPr>
              <w:t xml:space="preserve">Provide annual amount for each component for contract years 1-3 </w:t>
            </w:r>
          </w:p>
        </w:tc>
        <w:tc>
          <w:tcPr>
            <w:tcW w:w="1543" w:type="dxa"/>
            <w:vAlign w:val="center"/>
          </w:tcPr>
          <w:p w14:paraId="39F59A4C" w14:textId="5B051DD8" w:rsidR="002D4198" w:rsidRPr="002D4198" w:rsidRDefault="002D4198" w:rsidP="002D4198">
            <w:pPr>
              <w:jc w:val="center"/>
              <w:rPr>
                <w:b/>
                <w:bCs/>
              </w:rPr>
            </w:pPr>
            <w:r w:rsidRPr="002D4198">
              <w:rPr>
                <w:b/>
                <w:bCs/>
              </w:rPr>
              <w:t>CONTRACT</w:t>
            </w:r>
          </w:p>
          <w:p w14:paraId="1E2D1B98" w14:textId="77777777" w:rsidR="002D4198" w:rsidRPr="002D4198" w:rsidRDefault="002D4198" w:rsidP="002D4198">
            <w:pPr>
              <w:jc w:val="center"/>
              <w:rPr>
                <w:b/>
                <w:bCs/>
              </w:rPr>
            </w:pPr>
            <w:r w:rsidRPr="002D4198">
              <w:rPr>
                <w:b/>
                <w:bCs/>
              </w:rPr>
              <w:t>YEARS 1-3</w:t>
            </w:r>
          </w:p>
          <w:p w14:paraId="438862B8" w14:textId="77777777" w:rsidR="002D4198" w:rsidRPr="002D4198" w:rsidRDefault="002D4198" w:rsidP="002D4198">
            <w:pPr>
              <w:jc w:val="center"/>
              <w:rPr>
                <w:b/>
                <w:bCs/>
              </w:rPr>
            </w:pPr>
          </w:p>
          <w:p w14:paraId="048EF6F4" w14:textId="62401824" w:rsidR="002D4198" w:rsidRPr="00F77B27" w:rsidRDefault="002D4198" w:rsidP="002D4198">
            <w:pPr>
              <w:jc w:val="center"/>
            </w:pPr>
            <w:r w:rsidRPr="00F77B27">
              <w:t>A = Annual Rate * 3</w:t>
            </w:r>
          </w:p>
        </w:tc>
        <w:tc>
          <w:tcPr>
            <w:tcW w:w="1527" w:type="dxa"/>
            <w:vAlign w:val="center"/>
          </w:tcPr>
          <w:p w14:paraId="17FC6AC5" w14:textId="1CAE36D2" w:rsidR="002D4198" w:rsidRPr="002D4198" w:rsidRDefault="002D4198" w:rsidP="002D4198">
            <w:pPr>
              <w:jc w:val="center"/>
              <w:rPr>
                <w:b/>
                <w:bCs/>
              </w:rPr>
            </w:pPr>
            <w:r w:rsidRPr="002D4198">
              <w:rPr>
                <w:b/>
                <w:bCs/>
              </w:rPr>
              <w:t>OPTIONAL</w:t>
            </w:r>
          </w:p>
          <w:p w14:paraId="4998BCD7" w14:textId="41B6E689" w:rsidR="002D4198" w:rsidRDefault="002D4198" w:rsidP="002D4198">
            <w:pPr>
              <w:jc w:val="center"/>
              <w:rPr>
                <w:b/>
                <w:bCs/>
              </w:rPr>
            </w:pPr>
            <w:r w:rsidRPr="002D4198">
              <w:rPr>
                <w:b/>
                <w:bCs/>
              </w:rPr>
              <w:t>YEAR 1*</w:t>
            </w:r>
          </w:p>
          <w:p w14:paraId="20B6F215" w14:textId="31A396C7" w:rsidR="001F6CD0" w:rsidRPr="001F6CD0" w:rsidRDefault="001F6CD0" w:rsidP="002D4198">
            <w:pPr>
              <w:jc w:val="center"/>
              <w:rPr>
                <w:b/>
                <w:bCs/>
                <w:sz w:val="18"/>
                <w:szCs w:val="18"/>
              </w:rPr>
            </w:pPr>
          </w:p>
          <w:p w14:paraId="03916391" w14:textId="77777777" w:rsidR="002D4198" w:rsidRPr="002D4198" w:rsidRDefault="002D4198" w:rsidP="002D4198">
            <w:pPr>
              <w:jc w:val="center"/>
              <w:rPr>
                <w:b/>
                <w:bCs/>
              </w:rPr>
            </w:pPr>
          </w:p>
          <w:p w14:paraId="7BA4B2E6" w14:textId="7BA574E2" w:rsidR="002D4198" w:rsidRPr="00F77B27" w:rsidRDefault="002D4198" w:rsidP="002D4198">
            <w:pPr>
              <w:jc w:val="center"/>
            </w:pPr>
            <w:r w:rsidRPr="00F77B27">
              <w:t>B</w:t>
            </w:r>
          </w:p>
        </w:tc>
        <w:tc>
          <w:tcPr>
            <w:tcW w:w="1528" w:type="dxa"/>
            <w:vAlign w:val="center"/>
          </w:tcPr>
          <w:p w14:paraId="60FE15D8" w14:textId="6FDBFDD2" w:rsidR="002D4198" w:rsidRPr="002D4198" w:rsidRDefault="002D4198" w:rsidP="002D4198">
            <w:pPr>
              <w:rPr>
                <w:b/>
                <w:szCs w:val="22"/>
              </w:rPr>
            </w:pPr>
            <w:r w:rsidRPr="002D4198">
              <w:rPr>
                <w:b/>
                <w:szCs w:val="22"/>
              </w:rPr>
              <w:t>OPTIONAL</w:t>
            </w:r>
          </w:p>
          <w:p w14:paraId="0E98ECA5" w14:textId="5960C114" w:rsidR="002D4198" w:rsidRPr="002D4198" w:rsidRDefault="002D4198" w:rsidP="002D4198">
            <w:pPr>
              <w:rPr>
                <w:b/>
                <w:szCs w:val="22"/>
              </w:rPr>
            </w:pPr>
            <w:r w:rsidRPr="77A9F16A">
              <w:rPr>
                <w:b/>
                <w:bCs/>
              </w:rPr>
              <w:t>YEAR 2*</w:t>
            </w:r>
          </w:p>
          <w:p w14:paraId="1BBB1C02" w14:textId="77777777" w:rsidR="002D4198" w:rsidRPr="002D4198" w:rsidRDefault="002D4198" w:rsidP="77A9F16A">
            <w:pPr>
              <w:rPr>
                <w:b/>
                <w:bCs/>
              </w:rPr>
            </w:pPr>
          </w:p>
          <w:p w14:paraId="6859D3C2" w14:textId="404357A7" w:rsidR="77A9F16A" w:rsidRDefault="77A9F16A" w:rsidP="77A9F16A">
            <w:pPr>
              <w:rPr>
                <w:b/>
                <w:bCs/>
              </w:rPr>
            </w:pPr>
          </w:p>
          <w:p w14:paraId="78700D99" w14:textId="74AD4BDE" w:rsidR="002D4198" w:rsidRPr="00F77B27" w:rsidRDefault="002D4198" w:rsidP="00F77B27">
            <w:pPr>
              <w:jc w:val="center"/>
              <w:rPr>
                <w:bCs/>
              </w:rPr>
            </w:pPr>
            <w:r w:rsidRPr="00F77B27">
              <w:rPr>
                <w:bCs/>
              </w:rPr>
              <w:t>C</w:t>
            </w:r>
          </w:p>
        </w:tc>
        <w:tc>
          <w:tcPr>
            <w:tcW w:w="1476" w:type="dxa"/>
            <w:vAlign w:val="center"/>
          </w:tcPr>
          <w:p w14:paraId="3C452829" w14:textId="77777777" w:rsidR="002D4198" w:rsidRPr="002D4198" w:rsidRDefault="002D4198" w:rsidP="002D4198">
            <w:pPr>
              <w:jc w:val="center"/>
              <w:rPr>
                <w:b/>
                <w:szCs w:val="22"/>
              </w:rPr>
            </w:pPr>
            <w:r w:rsidRPr="002D4198">
              <w:rPr>
                <w:b/>
                <w:szCs w:val="22"/>
              </w:rPr>
              <w:t>TOTALS</w:t>
            </w:r>
          </w:p>
          <w:p w14:paraId="4422889B" w14:textId="77777777" w:rsidR="002D4198" w:rsidRPr="002D4198" w:rsidRDefault="002D4198" w:rsidP="002D4198">
            <w:pPr>
              <w:jc w:val="center"/>
              <w:rPr>
                <w:b/>
                <w:szCs w:val="22"/>
              </w:rPr>
            </w:pPr>
          </w:p>
          <w:p w14:paraId="7BDF88BB" w14:textId="77777777" w:rsidR="002D4198" w:rsidRPr="002D4198" w:rsidRDefault="002D4198" w:rsidP="002D4198">
            <w:pPr>
              <w:jc w:val="center"/>
              <w:rPr>
                <w:b/>
                <w:szCs w:val="22"/>
              </w:rPr>
            </w:pPr>
          </w:p>
          <w:p w14:paraId="7DC6A415" w14:textId="498D79C0" w:rsidR="002D4198" w:rsidRPr="00F77B27" w:rsidRDefault="002D4198" w:rsidP="002D4198">
            <w:pPr>
              <w:jc w:val="center"/>
              <w:rPr>
                <w:bCs/>
              </w:rPr>
            </w:pPr>
            <w:r w:rsidRPr="00F77B27">
              <w:rPr>
                <w:bCs/>
                <w:i/>
                <w:iCs/>
                <w:sz w:val="20"/>
              </w:rPr>
              <w:t>A + B + C</w:t>
            </w:r>
          </w:p>
        </w:tc>
      </w:tr>
      <w:tr w:rsidR="002D4198" w14:paraId="50AB3D0F" w14:textId="77777777" w:rsidTr="4E28DA0D">
        <w:tc>
          <w:tcPr>
            <w:tcW w:w="1890" w:type="dxa"/>
          </w:tcPr>
          <w:p w14:paraId="1B02E193" w14:textId="1CD8174A" w:rsidR="002D4198" w:rsidRPr="002D4198" w:rsidRDefault="002D4198" w:rsidP="002D4198">
            <w:pPr>
              <w:tabs>
                <w:tab w:val="left" w:pos="1350"/>
              </w:tabs>
              <w:rPr>
                <w:sz w:val="20"/>
              </w:rPr>
            </w:pPr>
            <w:r w:rsidRPr="002D4198">
              <w:rPr>
                <w:rFonts w:eastAsia="Calibri"/>
                <w:sz w:val="20"/>
              </w:rPr>
              <w:t xml:space="preserve">Annual </w:t>
            </w:r>
            <w:r w:rsidRPr="002D4198">
              <w:rPr>
                <w:rFonts w:eastAsia="Calibri"/>
                <w:b/>
                <w:bCs/>
                <w:sz w:val="20"/>
              </w:rPr>
              <w:t>Inpatient</w:t>
            </w:r>
            <w:r w:rsidRPr="002D4198">
              <w:rPr>
                <w:rFonts w:eastAsia="Calibri"/>
                <w:sz w:val="20"/>
              </w:rPr>
              <w:t xml:space="preserve"> Rate Setting and Payment Method Support</w:t>
            </w:r>
          </w:p>
        </w:tc>
        <w:tc>
          <w:tcPr>
            <w:tcW w:w="1386" w:type="dxa"/>
          </w:tcPr>
          <w:p w14:paraId="589487FD" w14:textId="64DFC6CB" w:rsidR="002D4198" w:rsidRDefault="00F77B27" w:rsidP="002D4198">
            <w:r>
              <w:t>$</w:t>
            </w:r>
          </w:p>
        </w:tc>
        <w:tc>
          <w:tcPr>
            <w:tcW w:w="1543" w:type="dxa"/>
          </w:tcPr>
          <w:p w14:paraId="5531C89B" w14:textId="77777777" w:rsidR="002D4198" w:rsidRDefault="002D4198" w:rsidP="002D4198"/>
        </w:tc>
        <w:tc>
          <w:tcPr>
            <w:tcW w:w="1527" w:type="dxa"/>
          </w:tcPr>
          <w:p w14:paraId="71E9B806" w14:textId="77777777" w:rsidR="002D4198" w:rsidRDefault="002D4198" w:rsidP="002D4198"/>
        </w:tc>
        <w:tc>
          <w:tcPr>
            <w:tcW w:w="1528" w:type="dxa"/>
          </w:tcPr>
          <w:p w14:paraId="2E45B697" w14:textId="77777777" w:rsidR="002D4198" w:rsidRDefault="002D4198" w:rsidP="002D4198"/>
        </w:tc>
        <w:tc>
          <w:tcPr>
            <w:tcW w:w="1476" w:type="dxa"/>
          </w:tcPr>
          <w:p w14:paraId="437A94CC" w14:textId="77777777" w:rsidR="002D4198" w:rsidRDefault="002D4198" w:rsidP="002D4198"/>
        </w:tc>
      </w:tr>
      <w:tr w:rsidR="002D4198" w14:paraId="034A9F17" w14:textId="77777777" w:rsidTr="4E28DA0D">
        <w:tc>
          <w:tcPr>
            <w:tcW w:w="1890" w:type="dxa"/>
          </w:tcPr>
          <w:p w14:paraId="54525851" w14:textId="547993E9" w:rsidR="002D4198" w:rsidRPr="002D4198" w:rsidRDefault="002D4198" w:rsidP="002D4198">
            <w:pPr>
              <w:rPr>
                <w:sz w:val="20"/>
              </w:rPr>
            </w:pPr>
            <w:r w:rsidRPr="002D4198">
              <w:rPr>
                <w:rFonts w:eastAsia="Calibri"/>
                <w:bCs/>
                <w:sz w:val="20"/>
              </w:rPr>
              <w:t xml:space="preserve">Annual </w:t>
            </w:r>
            <w:r w:rsidRPr="002D4198">
              <w:rPr>
                <w:rFonts w:eastAsia="Calibri"/>
                <w:b/>
                <w:sz w:val="20"/>
              </w:rPr>
              <w:t>Outpatient</w:t>
            </w:r>
            <w:r w:rsidRPr="002D4198">
              <w:rPr>
                <w:rFonts w:eastAsia="Calibri"/>
                <w:bCs/>
                <w:sz w:val="20"/>
              </w:rPr>
              <w:t xml:space="preserve"> Fee Setting and Payment Method Support</w:t>
            </w:r>
          </w:p>
        </w:tc>
        <w:tc>
          <w:tcPr>
            <w:tcW w:w="1386" w:type="dxa"/>
          </w:tcPr>
          <w:p w14:paraId="7612FC88" w14:textId="77DA3707" w:rsidR="002D4198" w:rsidRDefault="00F77B27" w:rsidP="002D4198">
            <w:r>
              <w:t>$</w:t>
            </w:r>
          </w:p>
        </w:tc>
        <w:tc>
          <w:tcPr>
            <w:tcW w:w="1543" w:type="dxa"/>
          </w:tcPr>
          <w:p w14:paraId="516ED6D4" w14:textId="77777777" w:rsidR="002D4198" w:rsidRDefault="002D4198" w:rsidP="002D4198"/>
        </w:tc>
        <w:tc>
          <w:tcPr>
            <w:tcW w:w="1527" w:type="dxa"/>
          </w:tcPr>
          <w:p w14:paraId="243472BC" w14:textId="77777777" w:rsidR="002D4198" w:rsidRDefault="002D4198" w:rsidP="002D4198"/>
        </w:tc>
        <w:tc>
          <w:tcPr>
            <w:tcW w:w="1528" w:type="dxa"/>
          </w:tcPr>
          <w:p w14:paraId="0B226979" w14:textId="77777777" w:rsidR="002D4198" w:rsidRDefault="002D4198" w:rsidP="002D4198"/>
        </w:tc>
        <w:tc>
          <w:tcPr>
            <w:tcW w:w="1476" w:type="dxa"/>
          </w:tcPr>
          <w:p w14:paraId="4234EBE6" w14:textId="77777777" w:rsidR="002D4198" w:rsidRDefault="002D4198" w:rsidP="002D4198"/>
        </w:tc>
      </w:tr>
      <w:tr w:rsidR="002D4198" w14:paraId="42BD0DBC" w14:textId="77777777" w:rsidTr="4E28DA0D">
        <w:tc>
          <w:tcPr>
            <w:tcW w:w="1890" w:type="dxa"/>
          </w:tcPr>
          <w:p w14:paraId="60C5E23C" w14:textId="54B80EA9" w:rsidR="002D4198" w:rsidRPr="002D4198" w:rsidRDefault="002D4198" w:rsidP="002D4198">
            <w:pPr>
              <w:rPr>
                <w:sz w:val="20"/>
              </w:rPr>
            </w:pPr>
            <w:r w:rsidRPr="002D4198">
              <w:rPr>
                <w:rFonts w:eastAsia="Calibri"/>
                <w:bCs/>
                <w:sz w:val="20"/>
              </w:rPr>
              <w:t xml:space="preserve">Support for Medicaid’s Annual </w:t>
            </w:r>
            <w:r w:rsidRPr="002D4198">
              <w:rPr>
                <w:rFonts w:eastAsia="Calibri"/>
                <w:b/>
                <w:sz w:val="20"/>
              </w:rPr>
              <w:t>Fee Schedule</w:t>
            </w:r>
            <w:r w:rsidRPr="002D4198">
              <w:rPr>
                <w:rFonts w:eastAsia="Calibri"/>
                <w:bCs/>
                <w:sz w:val="20"/>
              </w:rPr>
              <w:t xml:space="preserve"> Updates</w:t>
            </w:r>
          </w:p>
        </w:tc>
        <w:tc>
          <w:tcPr>
            <w:tcW w:w="1386" w:type="dxa"/>
          </w:tcPr>
          <w:p w14:paraId="22851070" w14:textId="097E0D38" w:rsidR="002D4198" w:rsidRDefault="00F77B27" w:rsidP="002D4198">
            <w:r>
              <w:t>$</w:t>
            </w:r>
          </w:p>
        </w:tc>
        <w:tc>
          <w:tcPr>
            <w:tcW w:w="1543" w:type="dxa"/>
          </w:tcPr>
          <w:p w14:paraId="65D44DBC" w14:textId="77777777" w:rsidR="002D4198" w:rsidRDefault="002D4198" w:rsidP="002D4198"/>
        </w:tc>
        <w:tc>
          <w:tcPr>
            <w:tcW w:w="1527" w:type="dxa"/>
          </w:tcPr>
          <w:p w14:paraId="1CB71637" w14:textId="77777777" w:rsidR="002D4198" w:rsidRDefault="002D4198" w:rsidP="002D4198"/>
        </w:tc>
        <w:tc>
          <w:tcPr>
            <w:tcW w:w="1528" w:type="dxa"/>
          </w:tcPr>
          <w:p w14:paraId="36DC0B8E" w14:textId="77777777" w:rsidR="002D4198" w:rsidRDefault="002D4198" w:rsidP="002D4198"/>
        </w:tc>
        <w:tc>
          <w:tcPr>
            <w:tcW w:w="1476" w:type="dxa"/>
          </w:tcPr>
          <w:p w14:paraId="32B41CAE" w14:textId="77777777" w:rsidR="002D4198" w:rsidRDefault="002D4198" w:rsidP="002D4198"/>
        </w:tc>
      </w:tr>
      <w:tr w:rsidR="002D4198" w14:paraId="036F3F16" w14:textId="77777777" w:rsidTr="4E28DA0D">
        <w:tc>
          <w:tcPr>
            <w:tcW w:w="1890" w:type="dxa"/>
          </w:tcPr>
          <w:p w14:paraId="69C4CCEC" w14:textId="7B605C54" w:rsidR="002D4198" w:rsidRDefault="00F77B27" w:rsidP="4E28DA0D">
            <w:pPr>
              <w:rPr>
                <w:rFonts w:eastAsia="Calibri"/>
              </w:rPr>
            </w:pPr>
            <w:r w:rsidRPr="4E28DA0D">
              <w:rPr>
                <w:rFonts w:eastAsia="Calibri"/>
                <w:sz w:val="20"/>
              </w:rPr>
              <w:t xml:space="preserve">Support, Statistical Analysis and Annual/Quarterly Hospital Reports for Mississippi’s </w:t>
            </w:r>
            <w:r w:rsidRPr="4E28DA0D">
              <w:rPr>
                <w:rFonts w:eastAsia="Calibri"/>
                <w:b/>
                <w:bCs/>
                <w:sz w:val="20"/>
              </w:rPr>
              <w:t xml:space="preserve">Quality Incentive </w:t>
            </w:r>
            <w:r w:rsidRPr="4E28DA0D">
              <w:rPr>
                <w:rFonts w:eastAsia="Calibri"/>
                <w:b/>
                <w:bCs/>
                <w:sz w:val="20"/>
              </w:rPr>
              <w:lastRenderedPageBreak/>
              <w:t>Payment Program</w:t>
            </w:r>
            <w:r w:rsidRPr="4E28DA0D">
              <w:rPr>
                <w:rFonts w:eastAsia="Calibri"/>
                <w:sz w:val="20"/>
              </w:rPr>
              <w:t xml:space="preserve"> (QIPP</w:t>
            </w:r>
            <w:r w:rsidRPr="4E28DA0D">
              <w:rPr>
                <w:rFonts w:eastAsia="Calibri"/>
              </w:rPr>
              <w:t>)</w:t>
            </w:r>
          </w:p>
        </w:tc>
        <w:tc>
          <w:tcPr>
            <w:tcW w:w="1386" w:type="dxa"/>
          </w:tcPr>
          <w:p w14:paraId="3DF65B97" w14:textId="43CDD29E" w:rsidR="002D4198" w:rsidRDefault="00F77B27" w:rsidP="002D4198">
            <w:r>
              <w:lastRenderedPageBreak/>
              <w:t>$</w:t>
            </w:r>
          </w:p>
        </w:tc>
        <w:tc>
          <w:tcPr>
            <w:tcW w:w="1543" w:type="dxa"/>
          </w:tcPr>
          <w:p w14:paraId="2F24923D" w14:textId="77777777" w:rsidR="002D4198" w:rsidRDefault="002D4198" w:rsidP="002D4198"/>
        </w:tc>
        <w:tc>
          <w:tcPr>
            <w:tcW w:w="1527" w:type="dxa"/>
          </w:tcPr>
          <w:p w14:paraId="290AF498" w14:textId="77777777" w:rsidR="002D4198" w:rsidRDefault="002D4198" w:rsidP="002D4198"/>
        </w:tc>
        <w:tc>
          <w:tcPr>
            <w:tcW w:w="1528" w:type="dxa"/>
          </w:tcPr>
          <w:p w14:paraId="24563B2B" w14:textId="77777777" w:rsidR="002D4198" w:rsidRDefault="002D4198" w:rsidP="002D4198"/>
        </w:tc>
        <w:tc>
          <w:tcPr>
            <w:tcW w:w="1476" w:type="dxa"/>
          </w:tcPr>
          <w:p w14:paraId="1B28B332" w14:textId="77777777" w:rsidR="002D4198" w:rsidRDefault="002D4198" w:rsidP="002D4198"/>
        </w:tc>
      </w:tr>
      <w:tr w:rsidR="002D4198" w14:paraId="41CE863F" w14:textId="77777777" w:rsidTr="4E28DA0D">
        <w:tc>
          <w:tcPr>
            <w:tcW w:w="1890" w:type="dxa"/>
          </w:tcPr>
          <w:p w14:paraId="2C5A0D64" w14:textId="77777777" w:rsidR="002D4198" w:rsidRPr="00F77B27" w:rsidRDefault="002D4198" w:rsidP="4E28DA0D">
            <w:pPr>
              <w:autoSpaceDE w:val="0"/>
              <w:autoSpaceDN w:val="0"/>
              <w:adjustRightInd w:val="0"/>
              <w:rPr>
                <w:rFonts w:eastAsia="Calibri"/>
                <w:sz w:val="20"/>
              </w:rPr>
            </w:pPr>
            <w:r w:rsidRPr="4E28DA0D">
              <w:rPr>
                <w:rFonts w:eastAsia="Calibri"/>
                <w:b/>
                <w:bCs/>
                <w:sz w:val="20"/>
              </w:rPr>
              <w:t>Hour Pool</w:t>
            </w:r>
            <w:r w:rsidRPr="4E28DA0D">
              <w:rPr>
                <w:rFonts w:eastAsia="Calibri"/>
                <w:sz w:val="20"/>
              </w:rPr>
              <w:t xml:space="preserve"> – </w:t>
            </w:r>
          </w:p>
          <w:p w14:paraId="5DD3F220" w14:textId="15C06F40" w:rsidR="002D4198" w:rsidRPr="00F77B27" w:rsidRDefault="002D4198" w:rsidP="4E28DA0D">
            <w:pPr>
              <w:rPr>
                <w:sz w:val="20"/>
              </w:rPr>
            </w:pPr>
            <w:r w:rsidRPr="4E28DA0D">
              <w:rPr>
                <w:rFonts w:eastAsia="Calibri"/>
                <w:sz w:val="20"/>
              </w:rPr>
              <w:t>Hourly Rate * 2,000 hours: Bidder should assume the full 2,000 hours per each year of the contract are utilized for the total contract value.</w:t>
            </w:r>
          </w:p>
        </w:tc>
        <w:tc>
          <w:tcPr>
            <w:tcW w:w="1386" w:type="dxa"/>
          </w:tcPr>
          <w:p w14:paraId="26FCAC3D" w14:textId="4A15D6DB" w:rsidR="002D4198" w:rsidRDefault="00F77B27" w:rsidP="002D4198">
            <w:r>
              <w:t>$</w:t>
            </w:r>
          </w:p>
        </w:tc>
        <w:tc>
          <w:tcPr>
            <w:tcW w:w="1543" w:type="dxa"/>
          </w:tcPr>
          <w:p w14:paraId="4668683E" w14:textId="77777777" w:rsidR="002D4198" w:rsidRDefault="002D4198" w:rsidP="002D4198"/>
        </w:tc>
        <w:tc>
          <w:tcPr>
            <w:tcW w:w="1527" w:type="dxa"/>
          </w:tcPr>
          <w:p w14:paraId="2E73E253" w14:textId="77777777" w:rsidR="002D4198" w:rsidRDefault="002D4198" w:rsidP="002D4198"/>
        </w:tc>
        <w:tc>
          <w:tcPr>
            <w:tcW w:w="1528" w:type="dxa"/>
          </w:tcPr>
          <w:p w14:paraId="2EBE4ECA" w14:textId="77777777" w:rsidR="002D4198" w:rsidRDefault="002D4198" w:rsidP="002D4198"/>
        </w:tc>
        <w:tc>
          <w:tcPr>
            <w:tcW w:w="1476" w:type="dxa"/>
          </w:tcPr>
          <w:p w14:paraId="55E15D8B" w14:textId="77777777" w:rsidR="002D4198" w:rsidRDefault="002D4198" w:rsidP="002D4198"/>
        </w:tc>
      </w:tr>
      <w:tr w:rsidR="00F77B27" w14:paraId="27AC72C5" w14:textId="77777777" w:rsidTr="4E28DA0D">
        <w:tc>
          <w:tcPr>
            <w:tcW w:w="1890" w:type="dxa"/>
            <w:shd w:val="clear" w:color="auto" w:fill="2F5496" w:themeFill="accent1" w:themeFillShade="BF"/>
          </w:tcPr>
          <w:p w14:paraId="0A63D3A5" w14:textId="77777777" w:rsidR="00F77B27" w:rsidRPr="00F77B27" w:rsidRDefault="00F77B27" w:rsidP="77A9F16A">
            <w:pPr>
              <w:autoSpaceDE w:val="0"/>
              <w:autoSpaceDN w:val="0"/>
              <w:adjustRightInd w:val="0"/>
              <w:rPr>
                <w:rFonts w:eastAsia="Calibri"/>
                <w:b/>
                <w:bCs/>
                <w:sz w:val="20"/>
                <w:highlight w:val="yellow"/>
              </w:rPr>
            </w:pPr>
          </w:p>
        </w:tc>
        <w:tc>
          <w:tcPr>
            <w:tcW w:w="1386" w:type="dxa"/>
            <w:shd w:val="clear" w:color="auto" w:fill="2F5496" w:themeFill="accent1" w:themeFillShade="BF"/>
          </w:tcPr>
          <w:p w14:paraId="32BB26A1" w14:textId="77777777" w:rsidR="00F77B27" w:rsidRDefault="00F77B27" w:rsidP="00F77B27"/>
        </w:tc>
        <w:tc>
          <w:tcPr>
            <w:tcW w:w="1543" w:type="dxa"/>
            <w:shd w:val="clear" w:color="auto" w:fill="2F5496" w:themeFill="accent1" w:themeFillShade="BF"/>
          </w:tcPr>
          <w:p w14:paraId="50C5B61C" w14:textId="77777777" w:rsidR="00F77B27" w:rsidRDefault="00F77B27" w:rsidP="00F77B27"/>
        </w:tc>
        <w:tc>
          <w:tcPr>
            <w:tcW w:w="1527" w:type="dxa"/>
            <w:shd w:val="clear" w:color="auto" w:fill="2F5496" w:themeFill="accent1" w:themeFillShade="BF"/>
          </w:tcPr>
          <w:p w14:paraId="4BE833A4" w14:textId="77777777" w:rsidR="00F77B27" w:rsidRDefault="00F77B27" w:rsidP="00F77B27"/>
        </w:tc>
        <w:tc>
          <w:tcPr>
            <w:tcW w:w="1528" w:type="dxa"/>
            <w:shd w:val="clear" w:color="auto" w:fill="2F5496" w:themeFill="accent1" w:themeFillShade="BF"/>
          </w:tcPr>
          <w:p w14:paraId="2611E61C" w14:textId="77777777" w:rsidR="00F77B27" w:rsidRDefault="00F77B27" w:rsidP="00F77B27"/>
        </w:tc>
        <w:tc>
          <w:tcPr>
            <w:tcW w:w="1476" w:type="dxa"/>
            <w:shd w:val="clear" w:color="auto" w:fill="2F5496" w:themeFill="accent1" w:themeFillShade="BF"/>
          </w:tcPr>
          <w:p w14:paraId="17B5773F" w14:textId="77777777" w:rsidR="00F77B27" w:rsidRDefault="00F77B27" w:rsidP="00F77B27"/>
        </w:tc>
      </w:tr>
      <w:tr w:rsidR="00F77B27" w14:paraId="0F98DD25" w14:textId="77777777" w:rsidTr="4E28DA0D">
        <w:tc>
          <w:tcPr>
            <w:tcW w:w="1890" w:type="dxa"/>
          </w:tcPr>
          <w:p w14:paraId="4F4FF62C" w14:textId="77777777" w:rsidR="00F77B27" w:rsidRPr="00F77B27" w:rsidRDefault="00F77B27" w:rsidP="00F77B27">
            <w:pPr>
              <w:autoSpaceDE w:val="0"/>
              <w:autoSpaceDN w:val="0"/>
              <w:adjustRightInd w:val="0"/>
              <w:rPr>
                <w:rFonts w:eastAsia="Calibri"/>
                <w:b/>
                <w:sz w:val="20"/>
              </w:rPr>
            </w:pPr>
            <w:r w:rsidRPr="00F77B27">
              <w:rPr>
                <w:rFonts w:eastAsia="Calibri"/>
                <w:b/>
                <w:sz w:val="20"/>
              </w:rPr>
              <w:t xml:space="preserve">Total Annual Amount </w:t>
            </w:r>
          </w:p>
          <w:p w14:paraId="50DDA61E" w14:textId="49A3E1F5" w:rsidR="00F77B27" w:rsidRPr="00F77B27" w:rsidRDefault="00F77B27" w:rsidP="00F77B27">
            <w:pPr>
              <w:autoSpaceDE w:val="0"/>
              <w:autoSpaceDN w:val="0"/>
              <w:adjustRightInd w:val="0"/>
              <w:rPr>
                <w:rFonts w:eastAsia="Calibri"/>
                <w:b/>
                <w:sz w:val="20"/>
              </w:rPr>
            </w:pPr>
            <w:r w:rsidRPr="00F77B27">
              <w:rPr>
                <w:rFonts w:eastAsia="Calibri"/>
                <w:sz w:val="20"/>
              </w:rPr>
              <w:t>(for all components above)</w:t>
            </w:r>
          </w:p>
        </w:tc>
        <w:tc>
          <w:tcPr>
            <w:tcW w:w="1386" w:type="dxa"/>
          </w:tcPr>
          <w:p w14:paraId="623AB38C" w14:textId="77777777" w:rsidR="00F77B27" w:rsidRDefault="00F77B27" w:rsidP="00F77B27"/>
        </w:tc>
        <w:tc>
          <w:tcPr>
            <w:tcW w:w="1543" w:type="dxa"/>
          </w:tcPr>
          <w:p w14:paraId="0106FC39" w14:textId="77777777" w:rsidR="00F77B27" w:rsidRDefault="00F77B27" w:rsidP="00F77B27"/>
        </w:tc>
        <w:tc>
          <w:tcPr>
            <w:tcW w:w="1527" w:type="dxa"/>
          </w:tcPr>
          <w:p w14:paraId="0406BB93" w14:textId="77777777" w:rsidR="00F77B27" w:rsidRDefault="00F77B27" w:rsidP="00F77B27"/>
        </w:tc>
        <w:tc>
          <w:tcPr>
            <w:tcW w:w="1528" w:type="dxa"/>
          </w:tcPr>
          <w:p w14:paraId="1156B7F8" w14:textId="77777777" w:rsidR="00F77B27" w:rsidRDefault="00F77B27" w:rsidP="00F77B27"/>
        </w:tc>
        <w:tc>
          <w:tcPr>
            <w:tcW w:w="1476" w:type="dxa"/>
          </w:tcPr>
          <w:p w14:paraId="46DC6198" w14:textId="77777777" w:rsidR="00F77B27" w:rsidRDefault="00F77B27" w:rsidP="00F77B27"/>
        </w:tc>
      </w:tr>
    </w:tbl>
    <w:p w14:paraId="49C5D2A8" w14:textId="08CB6C08" w:rsidR="00F77B27" w:rsidRDefault="00F77B27" w:rsidP="00F77B27">
      <w:pPr>
        <w:spacing w:before="100" w:beforeAutospacing="1"/>
        <w:rPr>
          <w:rStyle w:val="normaltextrun"/>
          <w:i/>
          <w:iCs/>
          <w:color w:val="000000"/>
          <w:szCs w:val="22"/>
          <w:shd w:val="clear" w:color="auto" w:fill="FFFFFF"/>
        </w:rPr>
      </w:pPr>
      <w:r>
        <w:rPr>
          <w:rStyle w:val="normaltextrun"/>
          <w:i/>
          <w:iCs/>
          <w:color w:val="000000"/>
          <w:szCs w:val="22"/>
          <w:shd w:val="clear" w:color="auto" w:fill="FFFFFF"/>
        </w:rPr>
        <w:t xml:space="preserve">Bidders shall </w:t>
      </w:r>
      <w:r>
        <w:rPr>
          <w:rStyle w:val="normaltextrun"/>
          <w:b/>
          <w:bCs/>
          <w:i/>
          <w:iCs/>
          <w:color w:val="000000"/>
          <w:szCs w:val="22"/>
          <w:shd w:val="clear" w:color="auto" w:fill="FFFFFF"/>
        </w:rPr>
        <w:t>not</w:t>
      </w:r>
      <w:r>
        <w:rPr>
          <w:rStyle w:val="normaltextrun"/>
          <w:i/>
          <w:iCs/>
          <w:color w:val="000000"/>
          <w:szCs w:val="22"/>
          <w:shd w:val="clear" w:color="auto" w:fill="FFFFFF"/>
        </w:rPr>
        <w:t xml:space="preserve"> include any additional charges or</w:t>
      </w:r>
      <w:r>
        <w:rPr>
          <w:rStyle w:val="normaltextrun"/>
          <w:i/>
          <w:iCs/>
          <w:color w:val="000000"/>
          <w:shd w:val="clear" w:color="auto" w:fill="FFFFFF"/>
        </w:rPr>
        <w:t xml:space="preserve"> additional line items</w:t>
      </w:r>
      <w:r>
        <w:rPr>
          <w:rStyle w:val="normaltextrun"/>
          <w:i/>
          <w:iCs/>
          <w:color w:val="000000"/>
          <w:szCs w:val="22"/>
          <w:shd w:val="clear" w:color="auto" w:fill="FFFFFF"/>
        </w:rPr>
        <w:t xml:space="preserve"> in this bid form.  Any additional charges included on a bid form may result in the bid being deemed non-responsive, and the bid will thereby be rejected. </w:t>
      </w:r>
    </w:p>
    <w:p w14:paraId="4863EAA7" w14:textId="5E6FD1B2" w:rsidR="00F77B27" w:rsidRDefault="00F77B27" w:rsidP="00F77B27">
      <w:pPr>
        <w:spacing w:beforeAutospacing="1"/>
        <w:rPr>
          <w:rStyle w:val="normaltextrun"/>
          <w:i/>
          <w:iCs/>
          <w:color w:val="000000" w:themeColor="text1"/>
        </w:rPr>
      </w:pPr>
      <w:r w:rsidRPr="72711E4D">
        <w:rPr>
          <w:rStyle w:val="normaltextrun"/>
          <w:i/>
          <w:iCs/>
          <w:color w:val="000000" w:themeColor="text1"/>
        </w:rPr>
        <w:t>*NOTE:  Any increase to Bidder’s proposed pricing for Optional Year 1 and Optional Year 2 shall not exceed 2% of Bidder’s Proposed price for Year 3 of the Initial Contract term.</w:t>
      </w:r>
    </w:p>
    <w:p w14:paraId="02CC7C93" w14:textId="77777777" w:rsidR="00F77B27" w:rsidRDefault="00F77B27" w:rsidP="00F77B27">
      <w:pPr>
        <w:spacing w:beforeAutospacing="1"/>
        <w:rPr>
          <w:rStyle w:val="normaltextrun"/>
          <w:i/>
          <w:iCs/>
          <w:color w:val="000000" w:themeColor="text1"/>
        </w:rPr>
      </w:pPr>
    </w:p>
    <w:tbl>
      <w:tblPr>
        <w:tblW w:w="999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2445"/>
      </w:tblGrid>
      <w:tr w:rsidR="00F77B27" w:rsidRPr="00032E2E" w14:paraId="2C2DB8C7" w14:textId="77777777" w:rsidTr="04F203F6">
        <w:trPr>
          <w:trHeight w:val="331"/>
        </w:trPr>
        <w:tc>
          <w:tcPr>
            <w:tcW w:w="7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EACF07" w14:textId="77777777" w:rsidR="00F77B27" w:rsidRDefault="00F77B27" w:rsidP="00661671">
            <w:pPr>
              <w:autoSpaceDE w:val="0"/>
              <w:autoSpaceDN w:val="0"/>
              <w:adjustRightInd w:val="0"/>
              <w:rPr>
                <w:rStyle w:val="normaltextrun"/>
                <w:i/>
                <w:iCs/>
                <w:color w:val="000000"/>
                <w:szCs w:val="22"/>
                <w:shd w:val="clear" w:color="auto" w:fill="FFFFFF"/>
              </w:rPr>
            </w:pPr>
            <w:r w:rsidRPr="00032E2E">
              <w:rPr>
                <w:rFonts w:eastAsia="Calibri"/>
                <w:b/>
                <w:szCs w:val="22"/>
              </w:rPr>
              <w:t>Total Implementation Cost</w:t>
            </w:r>
            <w:r w:rsidRPr="00E60FA9">
              <w:rPr>
                <w:rStyle w:val="normaltextrun"/>
                <w:i/>
                <w:iCs/>
                <w:color w:val="000000"/>
                <w:szCs w:val="22"/>
                <w:shd w:val="clear" w:color="auto" w:fill="FFFFFF"/>
              </w:rPr>
              <w:t xml:space="preserve"> </w:t>
            </w:r>
          </w:p>
          <w:p w14:paraId="65153D0C" w14:textId="77777777" w:rsidR="00F77B27" w:rsidRPr="00032E2E" w:rsidRDefault="00F77B27" w:rsidP="00661671">
            <w:pPr>
              <w:spacing w:before="100" w:beforeAutospacing="1"/>
              <w:rPr>
                <w:rFonts w:ascii="Segoe UI" w:hAnsi="Segoe UI" w:cs="Segoe UI"/>
                <w:sz w:val="18"/>
                <w:szCs w:val="18"/>
              </w:rPr>
            </w:pPr>
            <w:r w:rsidRPr="00E60FA9">
              <w:rPr>
                <w:rStyle w:val="normaltextrun"/>
                <w:i/>
                <w:iCs/>
                <w:color w:val="000000"/>
                <w:szCs w:val="22"/>
                <w:shd w:val="clear" w:color="auto" w:fill="FFFFFF"/>
              </w:rPr>
              <w:t xml:space="preserve">Implementation will have a </w:t>
            </w:r>
            <w:r>
              <w:rPr>
                <w:rStyle w:val="normaltextrun"/>
                <w:i/>
                <w:iCs/>
                <w:color w:val="000000"/>
                <w:szCs w:val="22"/>
                <w:shd w:val="clear" w:color="auto" w:fill="FFFFFF"/>
              </w:rPr>
              <w:t>4</w:t>
            </w:r>
            <w:r w:rsidRPr="00E60FA9">
              <w:rPr>
                <w:rStyle w:val="normaltextrun"/>
                <w:i/>
                <w:iCs/>
                <w:color w:val="000000"/>
                <w:szCs w:val="22"/>
                <w:shd w:val="clear" w:color="auto" w:fill="FFFFFF"/>
              </w:rPr>
              <w:t xml:space="preserve">-month duration.  </w:t>
            </w:r>
            <w:r w:rsidRPr="00786DC4">
              <w:rPr>
                <w:rStyle w:val="normaltextrun"/>
                <w:b/>
                <w:i/>
                <w:color w:val="000000"/>
                <w:szCs w:val="22"/>
                <w:shd w:val="clear" w:color="auto" w:fill="FFFFFF"/>
              </w:rPr>
              <w:t>Implementation cost is requested for informational purposes only and is not included in the total contract cost or considered during the IFB evaluation.</w:t>
            </w:r>
            <w:r w:rsidRPr="00E60FA9">
              <w:rPr>
                <w:rStyle w:val="normaltextrun"/>
                <w:i/>
                <w:iCs/>
                <w:color w:val="000000"/>
                <w:szCs w:val="22"/>
                <w:shd w:val="clear" w:color="auto" w:fill="FFFFFF"/>
              </w:rPr>
              <w:t>  All costs associated with implementation will be the responsibility of the vendor.  DOM will not be responsible for</w:t>
            </w:r>
            <w:r>
              <w:rPr>
                <w:rStyle w:val="normaltextrun"/>
                <w:i/>
                <w:iCs/>
                <w:color w:val="000000"/>
                <w:szCs w:val="22"/>
                <w:shd w:val="clear" w:color="auto" w:fill="FFFFFF"/>
              </w:rPr>
              <w:t xml:space="preserve"> </w:t>
            </w:r>
            <w:r>
              <w:rPr>
                <w:rStyle w:val="normaltextrun"/>
                <w:i/>
                <w:iCs/>
                <w:color w:val="000000"/>
                <w:shd w:val="clear" w:color="auto" w:fill="FFFFFF"/>
              </w:rPr>
              <w:t>paying</w:t>
            </w:r>
            <w:r w:rsidRPr="00E60FA9">
              <w:rPr>
                <w:rStyle w:val="normaltextrun"/>
                <w:i/>
                <w:iCs/>
                <w:color w:val="000000"/>
                <w:szCs w:val="22"/>
                <w:shd w:val="clear" w:color="auto" w:fill="FFFFFF"/>
              </w:rPr>
              <w:t xml:space="preserve"> the cost of implementation.  </w:t>
            </w:r>
          </w:p>
        </w:tc>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AD3D8B6" w14:textId="77777777" w:rsidR="00F77B27" w:rsidRPr="00032E2E" w:rsidRDefault="00F77B27" w:rsidP="00661671">
            <w:pPr>
              <w:ind w:left="105"/>
              <w:jc w:val="right"/>
              <w:textAlignment w:val="baseline"/>
              <w:rPr>
                <w:rFonts w:ascii="Segoe UI" w:hAnsi="Segoe UI" w:cs="Segoe UI"/>
                <w:sz w:val="18"/>
                <w:szCs w:val="18"/>
              </w:rPr>
            </w:pPr>
            <w:r w:rsidRPr="00032E2E">
              <w:rPr>
                <w:rFonts w:ascii="Cambria" w:hAnsi="Cambria" w:cs="Segoe UI"/>
                <w:szCs w:val="22"/>
              </w:rPr>
              <w:t> </w:t>
            </w:r>
          </w:p>
        </w:tc>
      </w:tr>
    </w:tbl>
    <w:p w14:paraId="32F0082C" w14:textId="77777777" w:rsidR="00F77B27" w:rsidRDefault="00F77B27" w:rsidP="00F77B27">
      <w:pPr>
        <w:spacing w:before="100" w:beforeAutospacing="1"/>
        <w:rPr>
          <w:rStyle w:val="normaltextrun"/>
          <w:color w:val="000000"/>
          <w:szCs w:val="22"/>
          <w:shd w:val="clear" w:color="auto" w:fill="FFFFFF"/>
        </w:rPr>
      </w:pPr>
      <w:r w:rsidRPr="00BF4F2F">
        <w:rPr>
          <w:rStyle w:val="normaltextrun"/>
          <w:b/>
          <w:bCs/>
          <w:color w:val="000000"/>
          <w:szCs w:val="22"/>
          <w:shd w:val="clear" w:color="auto" w:fill="FFFFFF"/>
        </w:rPr>
        <w:t>CERTIFICATIONS -</w:t>
      </w:r>
      <w:r>
        <w:rPr>
          <w:rStyle w:val="normaltextrun"/>
          <w:color w:val="000000"/>
          <w:szCs w:val="22"/>
          <w:shd w:val="clear" w:color="auto" w:fill="FFFFFF"/>
        </w:rPr>
        <w:t xml:space="preserve"> By signing below, the Company Representative certifies that he/she has authority to bind the company and further acknowledges on behalf of the company: </w:t>
      </w:r>
    </w:p>
    <w:p w14:paraId="3D763EB4" w14:textId="77777777" w:rsidR="00F77B27" w:rsidRPr="00421DB6" w:rsidRDefault="00F77B27" w:rsidP="00F77B27">
      <w:pPr>
        <w:pStyle w:val="ListParagraph"/>
        <w:numPr>
          <w:ilvl w:val="0"/>
          <w:numId w:val="2"/>
        </w:numPr>
        <w:suppressAutoHyphens/>
        <w:spacing w:before="100" w:beforeAutospacing="1" w:after="200" w:line="276" w:lineRule="auto"/>
        <w:contextualSpacing w:val="0"/>
        <w:jc w:val="both"/>
        <w:rPr>
          <w:rStyle w:val="normaltextrun"/>
          <w:color w:val="000000"/>
          <w:shd w:val="clear" w:color="auto" w:fill="FFFFFF"/>
        </w:rPr>
      </w:pPr>
      <w:r w:rsidRPr="00421DB6">
        <w:rPr>
          <w:rStyle w:val="normaltextrun"/>
          <w:color w:val="000000"/>
          <w:shd w:val="clear" w:color="auto" w:fill="FFFFFF"/>
        </w:rPr>
        <w:t xml:space="preserve">That he/she has thoroughly read and understands this IFB and the attachments </w:t>
      </w:r>
      <w:proofErr w:type="gramStart"/>
      <w:r w:rsidRPr="00421DB6">
        <w:rPr>
          <w:rStyle w:val="normaltextrun"/>
          <w:color w:val="000000"/>
          <w:shd w:val="clear" w:color="auto" w:fill="FFFFFF"/>
        </w:rPr>
        <w:t>thereto</w:t>
      </w:r>
      <w:r>
        <w:rPr>
          <w:rStyle w:val="normaltextrun"/>
          <w:color w:val="000000"/>
          <w:shd w:val="clear" w:color="auto" w:fill="FFFFFF"/>
        </w:rPr>
        <w:t>;</w:t>
      </w:r>
      <w:proofErr w:type="gramEnd"/>
    </w:p>
    <w:p w14:paraId="7C504B24" w14:textId="77777777" w:rsidR="00F77B27"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sidRPr="00F742F3">
        <w:rPr>
          <w:rStyle w:val="normaltextrun"/>
          <w:color w:val="000000"/>
          <w:shd w:val="clear" w:color="auto" w:fill="FFFFFF"/>
        </w:rPr>
        <w:t xml:space="preserve">That the company meets all requirements and acknowledges all certifications contained in this IFB and the attachments </w:t>
      </w:r>
      <w:proofErr w:type="gramStart"/>
      <w:r w:rsidRPr="00F742F3">
        <w:rPr>
          <w:rStyle w:val="normaltextrun"/>
          <w:color w:val="000000"/>
          <w:shd w:val="clear" w:color="auto" w:fill="FFFFFF"/>
        </w:rPr>
        <w:t>thereto</w:t>
      </w:r>
      <w:r>
        <w:rPr>
          <w:rStyle w:val="normaltextrun"/>
          <w:color w:val="000000"/>
          <w:shd w:val="clear" w:color="auto" w:fill="FFFFFF"/>
        </w:rPr>
        <w:t>;</w:t>
      </w:r>
      <w:proofErr w:type="gramEnd"/>
    </w:p>
    <w:p w14:paraId="2F5F966C" w14:textId="77777777" w:rsidR="00F77B27" w:rsidRPr="00F742F3"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sidRPr="00F742F3">
        <w:rPr>
          <w:rStyle w:val="normaltextrun"/>
          <w:color w:val="000000"/>
          <w:shd w:val="clear" w:color="auto" w:fill="FFFFFF"/>
        </w:rPr>
        <w:t>That the company agrees to all provisions of this IFB and the attachments thereto including, but not limited to, the Require</w:t>
      </w:r>
      <w:r>
        <w:rPr>
          <w:rStyle w:val="normaltextrun"/>
          <w:color w:val="000000"/>
          <w:shd w:val="clear" w:color="auto" w:fill="FFFFFF"/>
        </w:rPr>
        <w:t>d</w:t>
      </w:r>
      <w:r w:rsidRPr="00F742F3">
        <w:rPr>
          <w:rStyle w:val="normaltextrun"/>
          <w:color w:val="000000"/>
          <w:shd w:val="clear" w:color="auto" w:fill="FFFFFF"/>
        </w:rPr>
        <w:t xml:space="preserve"> and Optional Clauses to be included in any contract resulting from this IFB as required by the </w:t>
      </w:r>
      <w:r w:rsidRPr="00F742F3">
        <w:rPr>
          <w:rStyle w:val="normaltextrun"/>
          <w:i/>
          <w:iCs/>
          <w:color w:val="000000"/>
          <w:shd w:val="clear" w:color="auto" w:fill="FFFFFF"/>
        </w:rPr>
        <w:t xml:space="preserve">Mississippi Public Procurement Review Board (PPRB) Office of Personal Service Contract Review (OPSCR) Rules and </w:t>
      </w:r>
      <w:proofErr w:type="gramStart"/>
      <w:r w:rsidRPr="00F742F3">
        <w:rPr>
          <w:rStyle w:val="normaltextrun"/>
          <w:i/>
          <w:iCs/>
          <w:color w:val="000000"/>
          <w:shd w:val="clear" w:color="auto" w:fill="FFFFFF"/>
        </w:rPr>
        <w:t>Regulations</w:t>
      </w:r>
      <w:r>
        <w:rPr>
          <w:rStyle w:val="normaltextrun"/>
          <w:color w:val="000000"/>
          <w:shd w:val="clear" w:color="auto" w:fill="FFFFFF"/>
        </w:rPr>
        <w:t>;</w:t>
      </w:r>
      <w:proofErr w:type="gramEnd"/>
      <w:r w:rsidRPr="00F742F3">
        <w:rPr>
          <w:rStyle w:val="normaltextrun"/>
          <w:color w:val="000000"/>
          <w:shd w:val="clear" w:color="auto" w:fill="FFFFFF"/>
        </w:rPr>
        <w:t xml:space="preserve"> </w:t>
      </w:r>
    </w:p>
    <w:p w14:paraId="011A67E8" w14:textId="77777777" w:rsidR="00F77B27"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Pr>
          <w:rStyle w:val="normaltextrun"/>
          <w:color w:val="000000"/>
          <w:shd w:val="clear" w:color="auto" w:fill="FFFFFF"/>
        </w:rPr>
        <w:t xml:space="preserve">That the company will perform, without delay, the services required at the prices quoted in this </w:t>
      </w:r>
      <w:r w:rsidRPr="00F2226B">
        <w:rPr>
          <w:rStyle w:val="normaltextrun"/>
          <w:b/>
          <w:bCs/>
          <w:color w:val="000000"/>
          <w:shd w:val="clear" w:color="auto" w:fill="FFFFFF"/>
        </w:rPr>
        <w:t xml:space="preserve">Attachment </w:t>
      </w:r>
      <w:proofErr w:type="gramStart"/>
      <w:r>
        <w:rPr>
          <w:rStyle w:val="normaltextrun"/>
          <w:b/>
          <w:bCs/>
          <w:color w:val="000000"/>
          <w:shd w:val="clear" w:color="auto" w:fill="FFFFFF"/>
        </w:rPr>
        <w:t>C;</w:t>
      </w:r>
      <w:proofErr w:type="gramEnd"/>
    </w:p>
    <w:p w14:paraId="6D10EB5F" w14:textId="77777777" w:rsidR="00F77B27"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Pr>
          <w:rStyle w:val="normaltextrun"/>
          <w:color w:val="000000"/>
          <w:shd w:val="clear" w:color="auto" w:fill="FFFFFF"/>
        </w:rPr>
        <w:lastRenderedPageBreak/>
        <w:t xml:space="preserve">That, to the best of its knowledge and belief, the cost or pricing data submitted is accurate, complete, and current as of the submission </w:t>
      </w:r>
      <w:proofErr w:type="gramStart"/>
      <w:r>
        <w:rPr>
          <w:rStyle w:val="normaltextrun"/>
          <w:color w:val="000000"/>
          <w:shd w:val="clear" w:color="auto" w:fill="FFFFFF"/>
        </w:rPr>
        <w:t>date;</w:t>
      </w:r>
      <w:proofErr w:type="gramEnd"/>
    </w:p>
    <w:p w14:paraId="3D228F47" w14:textId="77777777" w:rsidR="00F77B27"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Pr>
          <w:rStyle w:val="normaltextrun"/>
          <w:color w:val="000000"/>
          <w:shd w:val="clear" w:color="auto" w:fill="FFFFFF"/>
        </w:rPr>
        <w:t xml:space="preserve">That the company has, or will secure, at its own expense, applicable licensed and certified personnel or personnel with requisite credentials who shall be qualified to perform the duties required to be performed under this IFB; and </w:t>
      </w:r>
    </w:p>
    <w:p w14:paraId="71DF6E3B" w14:textId="77777777" w:rsidR="00F77B27" w:rsidRDefault="00F77B27" w:rsidP="00F77B27">
      <w:pPr>
        <w:pStyle w:val="ListParagraph"/>
        <w:numPr>
          <w:ilvl w:val="0"/>
          <w:numId w:val="2"/>
        </w:numPr>
        <w:suppressAutoHyphens/>
        <w:spacing w:before="100" w:beforeAutospacing="1" w:after="200"/>
        <w:contextualSpacing w:val="0"/>
        <w:jc w:val="both"/>
        <w:rPr>
          <w:rStyle w:val="normaltextrun"/>
          <w:color w:val="000000"/>
          <w:shd w:val="clear" w:color="auto" w:fill="FFFFFF"/>
        </w:rPr>
      </w:pPr>
      <w:r>
        <w:rPr>
          <w:rStyle w:val="normaltextrun"/>
          <w:color w:val="000000"/>
          <w:shd w:val="clear" w:color="auto" w:fill="FFFFFF"/>
        </w:rPr>
        <w:t xml:space="preserve">That the company can and will meet all required laws, regulations, and/or procedures related to Payment Methodology Services and represents that it is licensed, certified and possess the requisite credentials to perform these services.  Further, if the company is the successful bidder and the material, equipment, etc., delivered is subsequently found to be deficient pursuant to any federal and state laws and regulations in effect on the date of delivery, all costs necessary to bring the material, equipment, etc. into compliance with </w:t>
      </w:r>
      <w:proofErr w:type="gramStart"/>
      <w:r>
        <w:rPr>
          <w:rStyle w:val="normaltextrun"/>
          <w:color w:val="000000"/>
          <w:shd w:val="clear" w:color="auto" w:fill="FFFFFF"/>
        </w:rPr>
        <w:t>aforementioned requirements</w:t>
      </w:r>
      <w:proofErr w:type="gramEnd"/>
      <w:r>
        <w:rPr>
          <w:rStyle w:val="normaltextrun"/>
          <w:color w:val="000000"/>
          <w:shd w:val="clear" w:color="auto" w:fill="FFFFFF"/>
        </w:rPr>
        <w:t xml:space="preserve"> shall be borne solely by Company.</w:t>
      </w:r>
    </w:p>
    <w:p w14:paraId="2394CCAA" w14:textId="77777777" w:rsidR="00F77B27" w:rsidRDefault="00F77B27" w:rsidP="00F77B27">
      <w:pPr>
        <w:pStyle w:val="ListParagraph"/>
        <w:spacing w:before="100" w:beforeAutospacing="1"/>
        <w:ind w:left="432"/>
        <w:jc w:val="both"/>
        <w:rPr>
          <w:rStyle w:val="normaltextrun"/>
          <w:color w:val="000000"/>
          <w:shd w:val="clear" w:color="auto" w:fill="FFFFFF"/>
        </w:rPr>
      </w:pPr>
      <w:r w:rsidRPr="009D05F9">
        <w:rPr>
          <w:rStyle w:val="normaltextrun"/>
          <w:b/>
          <w:bCs/>
          <w:color w:val="000000"/>
          <w:shd w:val="clear" w:color="auto" w:fill="FFFFFF"/>
        </w:rPr>
        <w:t>NON-DEBARMENT</w:t>
      </w:r>
      <w:r>
        <w:rPr>
          <w:rStyle w:val="normaltextrun"/>
          <w:b/>
          <w:bCs/>
          <w:color w:val="000000"/>
          <w:shd w:val="clear" w:color="auto" w:fill="FFFFFF"/>
        </w:rPr>
        <w:t>-</w:t>
      </w:r>
      <w:r w:rsidRPr="009D05F9">
        <w:rPr>
          <w:rStyle w:val="normaltextrun"/>
          <w:b/>
          <w:bCs/>
          <w:color w:val="000000"/>
          <w:shd w:val="clear" w:color="auto" w:fill="FFFFFF"/>
        </w:rPr>
        <w:t xml:space="preserve"> </w:t>
      </w:r>
      <w:r w:rsidRPr="009D05F9">
        <w:rPr>
          <w:rStyle w:val="normaltextrun"/>
          <w:color w:val="000000"/>
          <w:shd w:val="clear" w:color="auto" w:fill="FFFFFF"/>
        </w:rPr>
        <w:t xml:space="preserve">By submitting a bid, the </w:t>
      </w:r>
      <w:r>
        <w:rPr>
          <w:rStyle w:val="normaltextrun"/>
          <w:color w:val="000000"/>
          <w:shd w:val="clear" w:color="auto" w:fill="FFFFFF"/>
        </w:rPr>
        <w:t xml:space="preserve">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w:t>
      </w:r>
    </w:p>
    <w:p w14:paraId="1E7C59B8" w14:textId="77777777" w:rsidR="00F77B27" w:rsidRDefault="00F77B27" w:rsidP="00F77B27">
      <w:pPr>
        <w:pStyle w:val="ListParagraph"/>
        <w:spacing w:before="100" w:beforeAutospacing="1"/>
        <w:ind w:left="432"/>
        <w:jc w:val="both"/>
        <w:rPr>
          <w:rStyle w:val="normaltextrun"/>
          <w:color w:val="000000"/>
          <w:shd w:val="clear" w:color="auto" w:fill="FFFFFF"/>
        </w:rPr>
      </w:pPr>
      <w:r w:rsidRPr="009D05F9">
        <w:rPr>
          <w:rStyle w:val="normaltextrun"/>
          <w:b/>
          <w:bCs/>
          <w:color w:val="000000"/>
          <w:shd w:val="clear" w:color="auto" w:fill="FFFFFF"/>
        </w:rPr>
        <w:t>INDEPENDENT PRICE DETERMINATION</w:t>
      </w:r>
      <w:r>
        <w:rPr>
          <w:rStyle w:val="normaltextrun"/>
          <w:color w:val="000000"/>
          <w:shd w:val="clear" w:color="auto" w:fill="FFFFFF"/>
        </w:rPr>
        <w:t xml:space="preserve">- The Bidder certifies that the prices submitted in response to the solicitation </w:t>
      </w:r>
      <w:r>
        <w:rPr>
          <w:rStyle w:val="normaltextrun"/>
          <w:b/>
          <w:bCs/>
          <w:color w:val="000000"/>
          <w:shd w:val="clear" w:color="auto" w:fill="FFFFFF"/>
        </w:rPr>
        <w:t>have</w:t>
      </w:r>
      <w:r>
        <w:rPr>
          <w:rStyle w:val="normaltextrun"/>
          <w:color w:val="000000"/>
          <w:shd w:val="clear" w:color="auto" w:fill="FFFFFF"/>
        </w:rPr>
        <w:t xml:space="preser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 </w:t>
      </w:r>
    </w:p>
    <w:p w14:paraId="238AB805" w14:textId="77777777" w:rsidR="00F77B27" w:rsidRDefault="00F77B27" w:rsidP="00F77B27">
      <w:pPr>
        <w:pStyle w:val="ListParagraph"/>
        <w:spacing w:before="100" w:beforeAutospacing="1"/>
        <w:ind w:left="432"/>
        <w:jc w:val="both"/>
        <w:rPr>
          <w:rStyle w:val="normaltextrun"/>
          <w:color w:val="000000"/>
          <w:shd w:val="clear" w:color="auto" w:fill="FFFFFF"/>
        </w:rPr>
      </w:pPr>
      <w:r w:rsidRPr="00EC2C6C">
        <w:rPr>
          <w:rStyle w:val="normaltextrun"/>
          <w:b/>
          <w:bCs/>
          <w:color w:val="000000"/>
          <w:shd w:val="clear" w:color="auto" w:fill="FFFFFF"/>
        </w:rPr>
        <w:t>PROPSECTIVE CONTRACTOR’S RESPRESE</w:t>
      </w:r>
      <w:r>
        <w:rPr>
          <w:rStyle w:val="normaltextrun"/>
          <w:b/>
          <w:bCs/>
          <w:color w:val="000000"/>
          <w:shd w:val="clear" w:color="auto" w:fill="FFFFFF"/>
        </w:rPr>
        <w:t>N</w:t>
      </w:r>
      <w:r w:rsidRPr="00EC2C6C">
        <w:rPr>
          <w:rStyle w:val="normaltextrun"/>
          <w:b/>
          <w:bCs/>
          <w:color w:val="000000"/>
          <w:shd w:val="clear" w:color="auto" w:fill="FFFFFF"/>
        </w:rPr>
        <w:t xml:space="preserve">TATION REGARDING </w:t>
      </w:r>
      <w:r>
        <w:rPr>
          <w:rStyle w:val="normaltextrun"/>
          <w:color w:val="000000"/>
          <w:shd w:val="clear" w:color="auto" w:fill="FFFFFF"/>
        </w:rPr>
        <w:t xml:space="preserve">– The prospective contractor represents as a part of such Contractor’s bid that such contractor </w:t>
      </w:r>
      <w:r>
        <w:rPr>
          <w:rStyle w:val="normaltextrun"/>
          <w:b/>
          <w:bCs/>
          <w:color w:val="000000"/>
          <w:shd w:val="clear" w:color="auto" w:fill="FFFFFF"/>
        </w:rPr>
        <w:t>has not</w:t>
      </w:r>
      <w:r>
        <w:rPr>
          <w:rStyle w:val="normaltextrun"/>
          <w:color w:val="000000"/>
          <w:shd w:val="clear" w:color="auto" w:fill="FFFFFF"/>
        </w:rPr>
        <w:t xml:space="preserve"> retained any person or agency on a percentage, commission, or other contingent arrangement to secure this contract. </w:t>
      </w:r>
    </w:p>
    <w:p w14:paraId="1BC258EE" w14:textId="77777777" w:rsidR="00F77B27" w:rsidRPr="0039226A" w:rsidRDefault="00F77B27" w:rsidP="00F77B27">
      <w:pPr>
        <w:pStyle w:val="ListParagraph"/>
        <w:spacing w:before="100" w:beforeAutospacing="1"/>
        <w:ind w:left="432"/>
        <w:rPr>
          <w:rStyle w:val="normaltextrun"/>
          <w:color w:val="000000"/>
          <w:shd w:val="clear" w:color="auto" w:fill="FFFFFF"/>
        </w:rPr>
      </w:pPr>
      <w:r>
        <w:rPr>
          <w:rStyle w:val="normaltextrun"/>
          <w:b/>
          <w:bCs/>
          <w:color w:val="000000"/>
          <w:shd w:val="clear" w:color="auto" w:fill="FFFFFF"/>
        </w:rPr>
        <w:t>REPRESENTATION REGARDING CONTINGENT FEES –</w:t>
      </w:r>
      <w:r>
        <w:rPr>
          <w:rStyle w:val="normaltextrun"/>
          <w:color w:val="000000"/>
          <w:shd w:val="clear" w:color="auto" w:fill="FFFFFF"/>
        </w:rPr>
        <w:t xml:space="preserve"> The Contractor represents that </w:t>
      </w:r>
      <w:r w:rsidRPr="0039226A">
        <w:rPr>
          <w:rStyle w:val="normaltextrun"/>
          <w:color w:val="000000"/>
          <w:shd w:val="clear" w:color="auto" w:fill="FFFFFF"/>
        </w:rPr>
        <w:t xml:space="preserve">it </w:t>
      </w:r>
      <w:r w:rsidRPr="0039226A">
        <w:rPr>
          <w:rStyle w:val="normaltextrun"/>
          <w:b/>
          <w:bCs/>
          <w:color w:val="000000"/>
          <w:shd w:val="clear" w:color="auto" w:fill="FFFFFF"/>
        </w:rPr>
        <w:t xml:space="preserve">has not </w:t>
      </w:r>
      <w:r w:rsidRPr="0039226A">
        <w:rPr>
          <w:rStyle w:val="normaltextrun"/>
          <w:color w:val="000000"/>
          <w:shd w:val="clear" w:color="auto" w:fill="FFFFFF"/>
        </w:rPr>
        <w:t>retained a person to solicit or secure a State contract upon an agreement or understanding for a commission, percentage, brokerage, or other contingent fee, except as disclosed in the Contractor’s bid.</w:t>
      </w:r>
      <w:r>
        <w:rPr>
          <w:rStyle w:val="normaltextrun"/>
          <w:color w:val="000000"/>
          <w:shd w:val="clear" w:color="auto" w:fill="FFFFFF"/>
        </w:rPr>
        <w:t xml:space="preserve"> </w:t>
      </w:r>
    </w:p>
    <w:p w14:paraId="09DA7662" w14:textId="7F25E413" w:rsidR="00F77B27" w:rsidRDefault="00F77B27" w:rsidP="00F77B27">
      <w:pPr>
        <w:pStyle w:val="ListParagraph"/>
        <w:spacing w:before="100" w:beforeAutospacing="1"/>
        <w:ind w:left="432"/>
        <w:rPr>
          <w:rStyle w:val="normaltextrun"/>
          <w:i/>
          <w:color w:val="000000"/>
          <w:shd w:val="clear" w:color="auto" w:fill="FFFFFF"/>
        </w:rPr>
      </w:pPr>
      <w:r w:rsidRPr="0041471B">
        <w:rPr>
          <w:rStyle w:val="normaltextrun"/>
          <w:b/>
          <w:bCs/>
          <w:color w:val="000000"/>
          <w:shd w:val="clear" w:color="auto" w:fill="FFFFFF"/>
        </w:rPr>
        <w:t>REPRESENTATION</w:t>
      </w:r>
      <w:r>
        <w:rPr>
          <w:rStyle w:val="normaltextrun"/>
          <w:b/>
          <w:bCs/>
          <w:color w:val="000000"/>
          <w:shd w:val="clear" w:color="auto" w:fill="FFFFFF"/>
        </w:rPr>
        <w:t xml:space="preserve"> REGARDING GRATUITIES -</w:t>
      </w:r>
      <w:r>
        <w:rPr>
          <w:rStyle w:val="normaltextrun"/>
          <w:color w:val="000000"/>
          <w:shd w:val="clear" w:color="auto" w:fill="FFFFFF"/>
        </w:rPr>
        <w:t xml:space="preserve"> The Bidder, offeror, or contractor represents that it </w:t>
      </w:r>
      <w:r>
        <w:rPr>
          <w:rStyle w:val="normaltextrun"/>
          <w:b/>
          <w:bCs/>
          <w:color w:val="000000"/>
          <w:shd w:val="clear" w:color="auto" w:fill="FFFFFF"/>
        </w:rPr>
        <w:t>has not</w:t>
      </w:r>
      <w:r>
        <w:rPr>
          <w:rStyle w:val="normaltextrun"/>
          <w:color w:val="000000"/>
          <w:shd w:val="clear" w:color="auto" w:fill="FFFFFF"/>
        </w:rPr>
        <w:t xml:space="preserve"> violated, is not violating, and promises that it will not violate the prohibition against gratuities set forth in Section 6-204 (Gratuities) of the </w:t>
      </w:r>
      <w:r>
        <w:rPr>
          <w:rStyle w:val="normaltextrun"/>
          <w:i/>
          <w:iCs/>
          <w:color w:val="000000"/>
          <w:shd w:val="clear" w:color="auto" w:fill="FFFFFF"/>
        </w:rPr>
        <w:t xml:space="preserve">Mississippi Public Procurement Review Board Office of Personal Service Contract Review Rules and Regulations. </w:t>
      </w:r>
    </w:p>
    <w:p w14:paraId="6BABB3B2" w14:textId="77777777" w:rsidR="00662BFA" w:rsidRPr="0041471B" w:rsidRDefault="00662BFA" w:rsidP="00F77B27">
      <w:pPr>
        <w:pStyle w:val="ListParagraph"/>
        <w:spacing w:before="100" w:beforeAutospacing="1"/>
        <w:ind w:left="432"/>
        <w:rPr>
          <w:rStyle w:val="normaltextrun"/>
          <w:b/>
          <w:bCs/>
          <w:color w:val="000000"/>
          <w:shd w:val="clear" w:color="auto" w:fill="FFFFFF"/>
        </w:rPr>
      </w:pPr>
    </w:p>
    <w:tbl>
      <w:tblPr>
        <w:tblStyle w:val="TableGrid"/>
        <w:tblW w:w="0" w:type="auto"/>
        <w:tblInd w:w="445" w:type="dxa"/>
        <w:tblLook w:val="04A0" w:firstRow="1" w:lastRow="0" w:firstColumn="1" w:lastColumn="0" w:noHBand="0" w:noVBand="1"/>
      </w:tblPr>
      <w:tblGrid>
        <w:gridCol w:w="2660"/>
        <w:gridCol w:w="6095"/>
      </w:tblGrid>
      <w:tr w:rsidR="00F77B27" w14:paraId="43781116" w14:textId="77777777" w:rsidTr="00661671">
        <w:tc>
          <w:tcPr>
            <w:tcW w:w="2660" w:type="dxa"/>
          </w:tcPr>
          <w:p w14:paraId="1CFC51DD" w14:textId="77777777" w:rsidR="00F77B27" w:rsidRPr="00F17020" w:rsidRDefault="00F77B27" w:rsidP="00661671">
            <w:pPr>
              <w:rPr>
                <w:b/>
                <w:szCs w:val="22"/>
              </w:rPr>
            </w:pPr>
            <w:r w:rsidRPr="00F17020">
              <w:rPr>
                <w:b/>
                <w:szCs w:val="22"/>
              </w:rPr>
              <w:t>Signature</w:t>
            </w:r>
          </w:p>
        </w:tc>
        <w:tc>
          <w:tcPr>
            <w:tcW w:w="6095" w:type="dxa"/>
          </w:tcPr>
          <w:p w14:paraId="34C8AC66" w14:textId="77777777" w:rsidR="00F77B27" w:rsidRDefault="00F77B27" w:rsidP="00661671"/>
          <w:p w14:paraId="16DD50F9" w14:textId="3519AB2D" w:rsidR="00F77B27" w:rsidRDefault="00F77B27" w:rsidP="00661671"/>
        </w:tc>
      </w:tr>
      <w:tr w:rsidR="00F77B27" w14:paraId="1BC16FA4" w14:textId="77777777" w:rsidTr="00661671">
        <w:tc>
          <w:tcPr>
            <w:tcW w:w="2660" w:type="dxa"/>
          </w:tcPr>
          <w:p w14:paraId="70344E68" w14:textId="77777777" w:rsidR="00F77B27" w:rsidRPr="00F17020" w:rsidRDefault="00F77B27" w:rsidP="00661671">
            <w:pPr>
              <w:rPr>
                <w:b/>
                <w:szCs w:val="22"/>
              </w:rPr>
            </w:pPr>
            <w:r w:rsidRPr="00F17020">
              <w:rPr>
                <w:b/>
                <w:szCs w:val="22"/>
              </w:rPr>
              <w:t>Date</w:t>
            </w:r>
          </w:p>
        </w:tc>
        <w:tc>
          <w:tcPr>
            <w:tcW w:w="6095" w:type="dxa"/>
          </w:tcPr>
          <w:p w14:paraId="0BDF414F" w14:textId="77777777" w:rsidR="00F77B27" w:rsidRDefault="00F77B27" w:rsidP="00661671"/>
          <w:p w14:paraId="21B0EEAF" w14:textId="118A90BC" w:rsidR="00F77B27" w:rsidRDefault="00F77B27" w:rsidP="00661671"/>
        </w:tc>
      </w:tr>
      <w:tr w:rsidR="00F77B27" w14:paraId="6021F4EB" w14:textId="77777777" w:rsidTr="00661671">
        <w:tc>
          <w:tcPr>
            <w:tcW w:w="2660" w:type="dxa"/>
          </w:tcPr>
          <w:p w14:paraId="66E4A5AA" w14:textId="77777777" w:rsidR="00F77B27" w:rsidRPr="00F17020" w:rsidRDefault="00F77B27" w:rsidP="00661671">
            <w:pPr>
              <w:rPr>
                <w:b/>
                <w:szCs w:val="22"/>
              </w:rPr>
            </w:pPr>
            <w:r w:rsidRPr="00F17020">
              <w:rPr>
                <w:b/>
                <w:szCs w:val="22"/>
              </w:rPr>
              <w:t>Name and Title</w:t>
            </w:r>
          </w:p>
        </w:tc>
        <w:tc>
          <w:tcPr>
            <w:tcW w:w="6095" w:type="dxa"/>
          </w:tcPr>
          <w:p w14:paraId="3D6D07C0" w14:textId="77777777" w:rsidR="00F77B27" w:rsidRDefault="00F77B27" w:rsidP="00661671"/>
          <w:p w14:paraId="6CB468B6" w14:textId="0ED93258" w:rsidR="00F77B27" w:rsidRDefault="00F77B27" w:rsidP="00661671"/>
        </w:tc>
      </w:tr>
      <w:tr w:rsidR="00F77B27" w14:paraId="198F5E77" w14:textId="77777777" w:rsidTr="00661671">
        <w:tc>
          <w:tcPr>
            <w:tcW w:w="2660" w:type="dxa"/>
          </w:tcPr>
          <w:p w14:paraId="11BDBD4E" w14:textId="77777777" w:rsidR="00F77B27" w:rsidRPr="00F17020" w:rsidRDefault="00F77B27" w:rsidP="00661671">
            <w:pPr>
              <w:rPr>
                <w:b/>
                <w:szCs w:val="22"/>
              </w:rPr>
            </w:pPr>
            <w:r w:rsidRPr="00F17020">
              <w:rPr>
                <w:b/>
                <w:szCs w:val="22"/>
              </w:rPr>
              <w:t>Company Name</w:t>
            </w:r>
          </w:p>
        </w:tc>
        <w:tc>
          <w:tcPr>
            <w:tcW w:w="6095" w:type="dxa"/>
          </w:tcPr>
          <w:p w14:paraId="1887D5B2" w14:textId="77777777" w:rsidR="00F77B27" w:rsidRDefault="00F77B27" w:rsidP="00661671"/>
          <w:p w14:paraId="37141C53" w14:textId="1ACF29EB" w:rsidR="00F77B27" w:rsidRDefault="00F77B27" w:rsidP="00661671"/>
        </w:tc>
      </w:tr>
    </w:tbl>
    <w:p w14:paraId="2C27CB8E" w14:textId="77777777" w:rsidR="00F77B27" w:rsidRPr="00127B3A" w:rsidRDefault="00F77B27" w:rsidP="00F77B27">
      <w:pPr>
        <w:spacing w:before="100" w:beforeAutospacing="1"/>
        <w:ind w:left="360"/>
        <w:rPr>
          <w:rStyle w:val="normaltextrun"/>
          <w:i/>
          <w:iCs/>
          <w:color w:val="000000"/>
          <w:szCs w:val="22"/>
          <w:shd w:val="clear" w:color="auto" w:fill="FFFFFF"/>
        </w:rPr>
      </w:pPr>
      <w:r w:rsidRPr="4E28DA0D">
        <w:rPr>
          <w:rStyle w:val="normaltextrun"/>
          <w:b/>
          <w:bCs/>
          <w:i/>
          <w:iCs/>
          <w:color w:val="000000"/>
          <w:shd w:val="clear" w:color="auto" w:fill="FFFFFF"/>
        </w:rPr>
        <w:t>Note:</w:t>
      </w:r>
      <w:r w:rsidRPr="4E28DA0D">
        <w:rPr>
          <w:rStyle w:val="normaltextrun"/>
          <w:color w:val="000000"/>
          <w:shd w:val="clear" w:color="auto" w:fill="FFFFFF"/>
        </w:rPr>
        <w:t xml:space="preserve"> </w:t>
      </w:r>
      <w:r w:rsidRPr="4E28DA0D">
        <w:rPr>
          <w:rStyle w:val="normaltextrun"/>
          <w:i/>
          <w:iCs/>
          <w:color w:val="000000"/>
          <w:shd w:val="clear" w:color="auto" w:fill="FFFFFF"/>
        </w:rPr>
        <w:t>Failure to sign the bid form may result in the bid being rejected as non-responsive.</w:t>
      </w:r>
      <w:r w:rsidRPr="4E28DA0D">
        <w:rPr>
          <w:rStyle w:val="normaltextrun"/>
          <w:b/>
          <w:bCs/>
          <w:i/>
          <w:iCs/>
          <w:color w:val="000000"/>
          <w:shd w:val="clear" w:color="auto" w:fill="FFFFFF"/>
        </w:rPr>
        <w:t xml:space="preserve">  </w:t>
      </w:r>
      <w:r w:rsidRPr="4E28DA0D">
        <w:rPr>
          <w:rStyle w:val="normaltextrun"/>
          <w:i/>
          <w:iCs/>
          <w:color w:val="000000"/>
          <w:shd w:val="clear" w:color="auto" w:fill="FFFFFF"/>
        </w:rPr>
        <w:t xml:space="preserve">Modifications or additions to any portion of this bid document may be cause for rejection of the bid. </w:t>
      </w:r>
    </w:p>
    <w:p w14:paraId="5206307C" w14:textId="77777777" w:rsidR="4E28DA0D" w:rsidRDefault="4E28DA0D" w:rsidP="00F77B27">
      <w:pPr>
        <w:spacing w:before="100" w:beforeAutospacing="1"/>
        <w:ind w:right="-90"/>
        <w:rPr>
          <w:rStyle w:val="Heading3Char"/>
          <w:rFonts w:ascii="Times New Roman" w:hAnsi="Times New Roman" w:cs="Times New Roman"/>
          <w:b/>
          <w:color w:val="000000" w:themeColor="text1"/>
          <w:sz w:val="22"/>
          <w:szCs w:val="22"/>
        </w:rPr>
      </w:pPr>
    </w:p>
    <w:p w14:paraId="0DB8D5A4" w14:textId="3D611F9A" w:rsidR="00F77B27" w:rsidRPr="00F77B27" w:rsidRDefault="00F77B27" w:rsidP="00F77B27">
      <w:pPr>
        <w:spacing w:before="100" w:beforeAutospacing="1"/>
        <w:ind w:right="-90"/>
        <w:rPr>
          <w:rStyle w:val="Heading3Char"/>
          <w:rFonts w:ascii="Times New Roman" w:hAnsi="Times New Roman" w:cs="Times New Roman"/>
          <w:b/>
          <w:color w:val="000000" w:themeColor="text1"/>
          <w:sz w:val="22"/>
          <w:szCs w:val="22"/>
        </w:rPr>
      </w:pPr>
      <w:r w:rsidRPr="00F77B27">
        <w:rPr>
          <w:rStyle w:val="Heading3Char"/>
          <w:rFonts w:ascii="Times New Roman" w:hAnsi="Times New Roman" w:cs="Times New Roman"/>
          <w:b/>
          <w:color w:val="000000" w:themeColor="text1"/>
          <w:sz w:val="22"/>
          <w:szCs w:val="22"/>
        </w:rPr>
        <w:t xml:space="preserve">In addition to providing the above information, please answer the following questions regarding your company.  The Bidder must answer questions below </w:t>
      </w:r>
      <w:proofErr w:type="gramStart"/>
      <w:r w:rsidRPr="00F77B27">
        <w:rPr>
          <w:rStyle w:val="Heading3Char"/>
          <w:rFonts w:ascii="Times New Roman" w:hAnsi="Times New Roman" w:cs="Times New Roman"/>
          <w:b/>
          <w:color w:val="000000" w:themeColor="text1"/>
          <w:sz w:val="22"/>
          <w:szCs w:val="22"/>
        </w:rPr>
        <w:t>in order for</w:t>
      </w:r>
      <w:proofErr w:type="gramEnd"/>
      <w:r w:rsidRPr="00F77B27">
        <w:rPr>
          <w:rStyle w:val="Heading3Char"/>
          <w:rFonts w:ascii="Times New Roman" w:hAnsi="Times New Roman" w:cs="Times New Roman"/>
          <w:b/>
          <w:color w:val="000000" w:themeColor="text1"/>
          <w:sz w:val="22"/>
          <w:szCs w:val="22"/>
        </w:rPr>
        <w:t xml:space="preserve"> their bid to be considered.</w:t>
      </w:r>
    </w:p>
    <w:tbl>
      <w:tblPr>
        <w:tblStyle w:val="TableGrid"/>
        <w:tblW w:w="0" w:type="auto"/>
        <w:tblLook w:val="04A0" w:firstRow="1" w:lastRow="0" w:firstColumn="1" w:lastColumn="0" w:noHBand="0" w:noVBand="1"/>
      </w:tblPr>
      <w:tblGrid>
        <w:gridCol w:w="3212"/>
        <w:gridCol w:w="5988"/>
      </w:tblGrid>
      <w:tr w:rsidR="00F77B27" w14:paraId="2A1DB859" w14:textId="77777777" w:rsidTr="00661671">
        <w:tc>
          <w:tcPr>
            <w:tcW w:w="3212" w:type="dxa"/>
            <w:vAlign w:val="center"/>
          </w:tcPr>
          <w:p w14:paraId="5C56A5A7" w14:textId="77777777" w:rsidR="00F77B27" w:rsidRPr="000D207F" w:rsidRDefault="00F77B27" w:rsidP="00661671">
            <w:pPr>
              <w:rPr>
                <w:szCs w:val="22"/>
              </w:rPr>
            </w:pPr>
            <w:r w:rsidRPr="000D207F">
              <w:rPr>
                <w:szCs w:val="22"/>
              </w:rPr>
              <w:t>What year was your company started?</w:t>
            </w:r>
          </w:p>
        </w:tc>
        <w:tc>
          <w:tcPr>
            <w:tcW w:w="5988" w:type="dxa"/>
          </w:tcPr>
          <w:p w14:paraId="031DD269" w14:textId="77777777" w:rsidR="00F77B27" w:rsidRDefault="00F77B27" w:rsidP="00661671"/>
        </w:tc>
      </w:tr>
      <w:tr w:rsidR="00F77B27" w14:paraId="1F34388F" w14:textId="77777777" w:rsidTr="00661671">
        <w:tc>
          <w:tcPr>
            <w:tcW w:w="3212" w:type="dxa"/>
            <w:vAlign w:val="center"/>
          </w:tcPr>
          <w:p w14:paraId="5135FCA2" w14:textId="77777777" w:rsidR="00F77B27" w:rsidRPr="00F77B27" w:rsidRDefault="00F77B27" w:rsidP="00661671">
            <w:pPr>
              <w:rPr>
                <w:szCs w:val="22"/>
              </w:rPr>
            </w:pPr>
            <w:r w:rsidRPr="00F77B27">
              <w:rPr>
                <w:szCs w:val="22"/>
              </w:rPr>
              <w:t xml:space="preserve">Please provide the physical location and mailing address of your company’s home office, principal place of business and place of incorporation. </w:t>
            </w:r>
          </w:p>
        </w:tc>
        <w:tc>
          <w:tcPr>
            <w:tcW w:w="5988" w:type="dxa"/>
          </w:tcPr>
          <w:p w14:paraId="1F29BC94" w14:textId="77777777" w:rsidR="00F77B27" w:rsidRDefault="00F77B27" w:rsidP="00661671"/>
        </w:tc>
      </w:tr>
      <w:tr w:rsidR="00F77B27" w14:paraId="59A7DC6D" w14:textId="77777777" w:rsidTr="00661671">
        <w:tc>
          <w:tcPr>
            <w:tcW w:w="3212" w:type="dxa"/>
            <w:vAlign w:val="center"/>
          </w:tcPr>
          <w:p w14:paraId="316A81AB" w14:textId="77777777" w:rsidR="00F77B27" w:rsidRPr="00F77B27" w:rsidRDefault="00F77B27" w:rsidP="00661671">
            <w:pPr>
              <w:ind w:right="-90"/>
              <w:rPr>
                <w:szCs w:val="22"/>
              </w:rPr>
            </w:pPr>
            <w:r w:rsidRPr="00F77B27">
              <w:rPr>
                <w:rStyle w:val="Heading3Char"/>
                <w:rFonts w:ascii="Times New Roman" w:hAnsi="Times New Roman" w:cs="Times New Roman"/>
                <w:color w:val="000000" w:themeColor="text1"/>
                <w:sz w:val="22"/>
                <w:szCs w:val="22"/>
              </w:rPr>
              <w:t xml:space="preserve">Company Structure/organization to include any parent or subsidiary companies.  As applicable, please describe the role of any parent and/or subsidiary company in providing the services requested within this IFB. </w:t>
            </w:r>
          </w:p>
        </w:tc>
        <w:tc>
          <w:tcPr>
            <w:tcW w:w="5988" w:type="dxa"/>
          </w:tcPr>
          <w:p w14:paraId="5DFD4E0B" w14:textId="77777777" w:rsidR="00F77B27" w:rsidRDefault="00F77B27" w:rsidP="00661671"/>
        </w:tc>
      </w:tr>
      <w:tr w:rsidR="00F77B27" w14:paraId="1F212AA0" w14:textId="77777777" w:rsidTr="00661671">
        <w:tc>
          <w:tcPr>
            <w:tcW w:w="3212" w:type="dxa"/>
            <w:vAlign w:val="center"/>
          </w:tcPr>
          <w:p w14:paraId="17C03909" w14:textId="77777777" w:rsidR="00F77B27" w:rsidRPr="00F77B27" w:rsidRDefault="00F77B27" w:rsidP="00661671">
            <w:pPr>
              <w:rPr>
                <w:szCs w:val="22"/>
              </w:rPr>
            </w:pPr>
            <w:r w:rsidRPr="00F77B27">
              <w:rPr>
                <w:rStyle w:val="Heading3Char"/>
                <w:rFonts w:ascii="Times New Roman" w:hAnsi="Times New Roman" w:cs="Times New Roman"/>
                <w:color w:val="000000" w:themeColor="text1"/>
                <w:sz w:val="22"/>
                <w:szCs w:val="22"/>
              </w:rPr>
              <w:t>Is your company currently for sale or involved in any transaction to expand or become acquired by another business entity during either this solicitation period or the resultant contract?  If “yes”, please provide information regarding such a transaction as it relates to your Company’s organization structure (post transaction) and your Company’s ability to continue delivery of services (post transaction) as required herein.</w:t>
            </w:r>
          </w:p>
        </w:tc>
        <w:tc>
          <w:tcPr>
            <w:tcW w:w="5988" w:type="dxa"/>
          </w:tcPr>
          <w:p w14:paraId="4458D647" w14:textId="77777777" w:rsidR="00F77B27" w:rsidRDefault="00F77B27" w:rsidP="00661671"/>
        </w:tc>
      </w:tr>
      <w:tr w:rsidR="00F77B27" w14:paraId="3A44D7BD" w14:textId="77777777" w:rsidTr="00661671">
        <w:tc>
          <w:tcPr>
            <w:tcW w:w="3212" w:type="dxa"/>
            <w:vAlign w:val="center"/>
          </w:tcPr>
          <w:p w14:paraId="566D04E1" w14:textId="77777777" w:rsidR="00F77B27" w:rsidRPr="00F77B27" w:rsidRDefault="00F77B27" w:rsidP="00661671">
            <w:pPr>
              <w:rPr>
                <w:szCs w:val="22"/>
              </w:rPr>
            </w:pPr>
            <w:r w:rsidRPr="00F77B27">
              <w:rPr>
                <w:rStyle w:val="Heading3Char"/>
                <w:rFonts w:ascii="Times New Roman" w:hAnsi="Times New Roman" w:cs="Times New Roman"/>
                <w:color w:val="000000" w:themeColor="text1"/>
                <w:sz w:val="22"/>
                <w:szCs w:val="22"/>
              </w:rPr>
              <w:t>If your</w:t>
            </w:r>
            <w:r w:rsidRPr="00F77B27">
              <w:rPr>
                <w:rStyle w:val="Heading3Char"/>
                <w:rFonts w:ascii="Times New Roman" w:hAnsi="Times New Roman" w:cs="Times New Roman"/>
                <w:sz w:val="22"/>
                <w:szCs w:val="22"/>
              </w:rPr>
              <w:t xml:space="preserve"> </w:t>
            </w:r>
            <w:r w:rsidRPr="00F77B27">
              <w:rPr>
                <w:rStyle w:val="Heading3Char"/>
                <w:rFonts w:ascii="Times New Roman" w:hAnsi="Times New Roman" w:cs="Times New Roman"/>
                <w:color w:val="000000" w:themeColor="text1"/>
                <w:sz w:val="22"/>
                <w:szCs w:val="22"/>
              </w:rPr>
              <w:t>company is not physically located in Mississippi, how will you supply Payment Methodology Services in Mississippi?</w:t>
            </w:r>
          </w:p>
        </w:tc>
        <w:tc>
          <w:tcPr>
            <w:tcW w:w="5988" w:type="dxa"/>
          </w:tcPr>
          <w:p w14:paraId="2F6113E4" w14:textId="77777777" w:rsidR="00F77B27" w:rsidRDefault="00F77B27" w:rsidP="00661671"/>
        </w:tc>
      </w:tr>
      <w:tr w:rsidR="00F77B27" w14:paraId="26491815" w14:textId="77777777" w:rsidTr="00661671">
        <w:tc>
          <w:tcPr>
            <w:tcW w:w="3212" w:type="dxa"/>
            <w:vAlign w:val="center"/>
          </w:tcPr>
          <w:p w14:paraId="7E153331" w14:textId="77777777" w:rsidR="00F77B27" w:rsidRPr="00F77B27" w:rsidRDefault="00F77B27" w:rsidP="00661671">
            <w:pPr>
              <w:rPr>
                <w:szCs w:val="22"/>
              </w:rPr>
            </w:pPr>
            <w:r w:rsidRPr="00F77B27">
              <w:rPr>
                <w:rStyle w:val="Heading3Char"/>
                <w:rFonts w:ascii="Times New Roman" w:hAnsi="Times New Roman" w:cs="Times New Roman"/>
                <w:color w:val="000000" w:themeColor="text1"/>
                <w:sz w:val="22"/>
                <w:szCs w:val="22"/>
              </w:rPr>
              <w:t>List all licenses, certifications or permits your company possesses that are applicable to performing the services required in this IFB.</w:t>
            </w:r>
          </w:p>
        </w:tc>
        <w:tc>
          <w:tcPr>
            <w:tcW w:w="5988" w:type="dxa"/>
          </w:tcPr>
          <w:p w14:paraId="0E59CE39" w14:textId="77777777" w:rsidR="00F77B27" w:rsidRDefault="00F77B27" w:rsidP="00661671"/>
        </w:tc>
      </w:tr>
    </w:tbl>
    <w:p w14:paraId="0937F1D9" w14:textId="77777777" w:rsidR="00F77B27" w:rsidRPr="00F77B27" w:rsidRDefault="00F77B27" w:rsidP="00F77B27">
      <w:pPr>
        <w:jc w:val="both"/>
        <w:rPr>
          <w:rStyle w:val="Heading3Char"/>
          <w:rFonts w:ascii="Times New Roman" w:hAnsi="Times New Roman" w:cs="Times New Roman"/>
          <w:b/>
          <w:color w:val="000000" w:themeColor="text1"/>
          <w:sz w:val="22"/>
          <w:szCs w:val="22"/>
        </w:rPr>
      </w:pPr>
      <w:r w:rsidRPr="00F77B27">
        <w:rPr>
          <w:rStyle w:val="Heading3Char"/>
          <w:rFonts w:ascii="Times New Roman" w:hAnsi="Times New Roman" w:cs="Times New Roman"/>
          <w:b/>
          <w:color w:val="000000" w:themeColor="text1"/>
          <w:sz w:val="22"/>
          <w:szCs w:val="22"/>
        </w:rPr>
        <w:t xml:space="preserve">As an attachment to this Bid Form, please provide your organization’s Staffing Plan that identifies all </w:t>
      </w:r>
      <w:r w:rsidRPr="00F77B27">
        <w:rPr>
          <w:rStyle w:val="Heading3Char"/>
          <w:rFonts w:ascii="Times New Roman" w:hAnsi="Times New Roman" w:cs="Times New Roman"/>
          <w:b/>
          <w:bCs/>
          <w:color w:val="000000" w:themeColor="text1"/>
          <w:sz w:val="22"/>
          <w:szCs w:val="22"/>
        </w:rPr>
        <w:t xml:space="preserve">key staff members, as well as others, identified in IFB Sections 2.2.6 and 2.2.7 </w:t>
      </w:r>
      <w:r w:rsidRPr="00F77B27">
        <w:rPr>
          <w:rStyle w:val="Heading3Char"/>
          <w:rFonts w:ascii="Times New Roman" w:hAnsi="Times New Roman" w:cs="Times New Roman"/>
          <w:b/>
          <w:color w:val="000000" w:themeColor="text1"/>
          <w:sz w:val="22"/>
          <w:szCs w:val="22"/>
        </w:rPr>
        <w:t xml:space="preserve">who will be dedicated to this project.  If individuals cannot be readily designated in bidder’s response, bidder may provide resumes of proposed individuals to work on the project with the understanding that a final Staffing Plan with committed project team members shall be provided to DOM for approval prior to contract execution.  </w:t>
      </w:r>
    </w:p>
    <w:p w14:paraId="4245C010" w14:textId="77777777" w:rsidR="00F77B27" w:rsidRPr="00F77B27" w:rsidRDefault="00F77B27" w:rsidP="4E28DA0D">
      <w:pPr>
        <w:jc w:val="both"/>
        <w:rPr>
          <w:rStyle w:val="Heading3Char"/>
          <w:rFonts w:ascii="Times New Roman" w:hAnsi="Times New Roman" w:cs="Times New Roman"/>
          <w:color w:val="000000" w:themeColor="text1"/>
          <w:sz w:val="22"/>
          <w:szCs w:val="22"/>
        </w:rPr>
      </w:pPr>
    </w:p>
    <w:p w14:paraId="08E6026D" w14:textId="77777777" w:rsidR="00F77B27" w:rsidRPr="00F77B27" w:rsidRDefault="00F77B27" w:rsidP="4E28DA0D">
      <w:pPr>
        <w:jc w:val="both"/>
        <w:rPr>
          <w:rStyle w:val="Heading3Char"/>
          <w:rFonts w:ascii="Times New Roman" w:hAnsi="Times New Roman" w:cs="Times New Roman"/>
          <w:color w:val="000000" w:themeColor="text1"/>
          <w:sz w:val="22"/>
          <w:szCs w:val="22"/>
        </w:rPr>
      </w:pPr>
      <w:r w:rsidRPr="4E28DA0D">
        <w:rPr>
          <w:rStyle w:val="Heading3Char"/>
          <w:rFonts w:ascii="Times New Roman" w:hAnsi="Times New Roman" w:cs="Times New Roman"/>
          <w:color w:val="000000" w:themeColor="text1"/>
          <w:sz w:val="22"/>
          <w:szCs w:val="22"/>
        </w:rPr>
        <w:t xml:space="preserve">If bidder intends to subcontract components within this IFB, bidder shall identify within its response to each project component described herein, the organizations with which bidder will subcontract.  The bidder must meet the minimum qualifications to be deemed responsible to this IFB either directly or by subcontracting with an organization that has the required expertise and experience. </w:t>
      </w:r>
    </w:p>
    <w:p w14:paraId="7AF7D68D" w14:textId="77777777" w:rsidR="00F77B27" w:rsidRPr="00F77B27" w:rsidRDefault="00F77B27" w:rsidP="4E28DA0D">
      <w:pPr>
        <w:jc w:val="both"/>
        <w:rPr>
          <w:rStyle w:val="Heading3Char"/>
          <w:rFonts w:ascii="Times New Roman" w:hAnsi="Times New Roman" w:cs="Times New Roman"/>
          <w:color w:val="000000" w:themeColor="text1"/>
          <w:sz w:val="22"/>
          <w:szCs w:val="22"/>
        </w:rPr>
      </w:pPr>
    </w:p>
    <w:p w14:paraId="10EEDFF4" w14:textId="52640F93" w:rsidR="00F77B27" w:rsidRPr="00F77B27" w:rsidRDefault="00F77B27" w:rsidP="4E28DA0D">
      <w:pPr>
        <w:jc w:val="both"/>
        <w:rPr>
          <w:rStyle w:val="Heading3Char"/>
          <w:rFonts w:ascii="Times New Roman" w:hAnsi="Times New Roman" w:cs="Times New Roman"/>
          <w:color w:val="000000" w:themeColor="text1"/>
          <w:sz w:val="22"/>
          <w:szCs w:val="22"/>
        </w:rPr>
      </w:pPr>
      <w:r w:rsidRPr="4E28DA0D">
        <w:rPr>
          <w:rStyle w:val="Heading3Char"/>
          <w:rFonts w:ascii="Times New Roman" w:hAnsi="Times New Roman" w:cs="Times New Roman"/>
          <w:color w:val="000000" w:themeColor="text1"/>
          <w:sz w:val="22"/>
          <w:szCs w:val="22"/>
        </w:rPr>
        <w:t xml:space="preserve">As a separate attachment to bidder’s response, bidder shall provide supporting documentation demonstrating subcontractor’s ability to meet or exceed the minimum qualifications to be deemed responsible to this IFB as identified in, but not limited to Section 1.8: Eligibility and Minimum Qualifications; Section 1.8.2: Minimum Qualifications; Section 1.8.3: Capability to Provide Services when the subcontractor, rather than the contractor, will be relied upon to satisfy that minimum requirement.  </w:t>
      </w:r>
    </w:p>
    <w:p w14:paraId="37124984" w14:textId="77777777" w:rsidR="00F77B27" w:rsidRDefault="00F77B27" w:rsidP="00F77B27">
      <w:pPr>
        <w:jc w:val="both"/>
        <w:rPr>
          <w:rStyle w:val="Heading3Char"/>
          <w:b/>
          <w:bCs/>
          <w:color w:val="000000" w:themeColor="text1"/>
          <w:szCs w:val="22"/>
        </w:rPr>
      </w:pPr>
    </w:p>
    <w:tbl>
      <w:tblPr>
        <w:tblStyle w:val="TableGrid"/>
        <w:tblW w:w="0" w:type="auto"/>
        <w:tblLook w:val="04A0" w:firstRow="1" w:lastRow="0" w:firstColumn="1" w:lastColumn="0" w:noHBand="0" w:noVBand="1"/>
      </w:tblPr>
      <w:tblGrid>
        <w:gridCol w:w="3145"/>
        <w:gridCol w:w="6205"/>
      </w:tblGrid>
      <w:tr w:rsidR="00F77B27" w14:paraId="205C15AD" w14:textId="77777777" w:rsidTr="00661671">
        <w:trPr>
          <w:trHeight w:val="291"/>
        </w:trPr>
        <w:tc>
          <w:tcPr>
            <w:tcW w:w="3145" w:type="dxa"/>
          </w:tcPr>
          <w:p w14:paraId="539B176E" w14:textId="77777777" w:rsidR="00F77B27" w:rsidRPr="002B505D" w:rsidRDefault="00F77B27" w:rsidP="00661671">
            <w:pPr>
              <w:rPr>
                <w:szCs w:val="22"/>
              </w:rPr>
            </w:pPr>
            <w:r w:rsidRPr="002B505D">
              <w:rPr>
                <w:szCs w:val="22"/>
              </w:rPr>
              <w:t>If No Subcontractor, please state “No Subcontractor”</w:t>
            </w:r>
          </w:p>
        </w:tc>
        <w:tc>
          <w:tcPr>
            <w:tcW w:w="6205" w:type="dxa"/>
          </w:tcPr>
          <w:p w14:paraId="7FDEC5ED" w14:textId="77777777" w:rsidR="00F77B27" w:rsidRDefault="00F77B27" w:rsidP="00661671"/>
        </w:tc>
      </w:tr>
    </w:tbl>
    <w:p w14:paraId="07B85C00" w14:textId="77777777" w:rsidR="00F77B27" w:rsidRDefault="00F77B27" w:rsidP="00F77B27">
      <w:pPr>
        <w:spacing w:before="100" w:beforeAutospacing="1"/>
        <w:jc w:val="center"/>
        <w:rPr>
          <w:rStyle w:val="normaltextrun"/>
          <w:rFonts w:eastAsiaTheme="majorEastAsia"/>
          <w:color w:val="000000"/>
          <w:szCs w:val="22"/>
          <w:shd w:val="clear" w:color="auto" w:fill="FFFFFF"/>
        </w:rPr>
      </w:pPr>
    </w:p>
    <w:p w14:paraId="15D5821D" w14:textId="77777777" w:rsidR="00F77B27" w:rsidRDefault="00F77B27" w:rsidP="4E28DA0D">
      <w:pPr>
        <w:spacing w:before="100" w:beforeAutospacing="1"/>
        <w:jc w:val="center"/>
        <w:rPr>
          <w:rStyle w:val="eop"/>
          <w:color w:val="000000"/>
          <w:shd w:val="clear" w:color="auto" w:fill="FFFFFF"/>
        </w:rPr>
      </w:pPr>
      <w:r w:rsidRPr="4E28DA0D">
        <w:rPr>
          <w:rStyle w:val="normaltextrun"/>
          <w:color w:val="000000"/>
          <w:shd w:val="clear" w:color="auto" w:fill="FFFFFF"/>
        </w:rPr>
        <w:t>[Rest of Page Intentionally Left Blank]</w:t>
      </w:r>
    </w:p>
    <w:p w14:paraId="1B4D048B" w14:textId="77777777" w:rsidR="0075032B" w:rsidRDefault="0075032B"/>
    <w:sectPr w:rsidR="007503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6BE4" w14:textId="77777777" w:rsidR="00294B78" w:rsidRDefault="00294B78" w:rsidP="00F77B27">
      <w:r>
        <w:separator/>
      </w:r>
    </w:p>
  </w:endnote>
  <w:endnote w:type="continuationSeparator" w:id="0">
    <w:p w14:paraId="0A8C8C7E" w14:textId="77777777" w:rsidR="00294B78" w:rsidRDefault="00294B78" w:rsidP="00F77B27">
      <w:r>
        <w:continuationSeparator/>
      </w:r>
    </w:p>
  </w:endnote>
  <w:endnote w:type="continuationNotice" w:id="1">
    <w:p w14:paraId="0AFBDEB4" w14:textId="77777777" w:rsidR="001D0090" w:rsidRDefault="001D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8465" w14:textId="77777777" w:rsidR="00294B78" w:rsidRDefault="00294B78" w:rsidP="00F77B27">
      <w:r>
        <w:separator/>
      </w:r>
    </w:p>
  </w:footnote>
  <w:footnote w:type="continuationSeparator" w:id="0">
    <w:p w14:paraId="372E3C01" w14:textId="77777777" w:rsidR="00294B78" w:rsidRDefault="00294B78" w:rsidP="00F77B27">
      <w:r>
        <w:continuationSeparator/>
      </w:r>
    </w:p>
  </w:footnote>
  <w:footnote w:type="continuationNotice" w:id="1">
    <w:p w14:paraId="47F15C97" w14:textId="77777777" w:rsidR="001D0090" w:rsidRDefault="001D0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A63C" w14:textId="77777777" w:rsidR="00F77B27" w:rsidRDefault="00F77B27" w:rsidP="00F77B27">
    <w:pPr>
      <w:pStyle w:val="Header"/>
      <w:jc w:val="center"/>
      <w:rPr>
        <w:szCs w:val="22"/>
      </w:rPr>
    </w:pPr>
  </w:p>
  <w:p w14:paraId="27BC1E85" w14:textId="77777777" w:rsidR="00F77B27" w:rsidRPr="00341632" w:rsidRDefault="00F77B27" w:rsidP="00F77B27">
    <w:pPr>
      <w:pStyle w:val="Header"/>
      <w:jc w:val="center"/>
      <w:rPr>
        <w:szCs w:val="22"/>
      </w:rPr>
    </w:pPr>
    <w:r>
      <w:rPr>
        <w:szCs w:val="22"/>
      </w:rPr>
      <w:t>Payment Methodology Services</w:t>
    </w:r>
  </w:p>
  <w:p w14:paraId="76EB9C2B" w14:textId="77777777" w:rsidR="00F77B27" w:rsidRPr="00341632" w:rsidRDefault="00F77B27" w:rsidP="00F77B27">
    <w:pPr>
      <w:pStyle w:val="Header"/>
      <w:jc w:val="center"/>
      <w:rPr>
        <w:szCs w:val="22"/>
      </w:rPr>
    </w:pPr>
    <w:r w:rsidRPr="00341632">
      <w:rPr>
        <w:szCs w:val="22"/>
      </w:rPr>
      <w:t>IFB #</w:t>
    </w:r>
    <w:r>
      <w:rPr>
        <w:szCs w:val="22"/>
      </w:rPr>
      <w:t xml:space="preserve"> 20221110</w:t>
    </w:r>
  </w:p>
  <w:p w14:paraId="47D3253E" w14:textId="121B96EA" w:rsidR="00F77B27" w:rsidRDefault="00F77B27" w:rsidP="00F77B27">
    <w:pPr>
      <w:pStyle w:val="Header"/>
      <w:jc w:val="center"/>
      <w:rPr>
        <w:szCs w:val="22"/>
      </w:rPr>
    </w:pPr>
    <w:r w:rsidRPr="00341632">
      <w:rPr>
        <w:szCs w:val="22"/>
      </w:rPr>
      <w:t>Office of the Governor – Mississippi Division of Medicaid</w:t>
    </w:r>
  </w:p>
  <w:p w14:paraId="47793BAA" w14:textId="7179AC6A" w:rsidR="00A12618" w:rsidRPr="00450393" w:rsidRDefault="00A12618" w:rsidP="00F77B27">
    <w:pPr>
      <w:pStyle w:val="Header"/>
      <w:jc w:val="center"/>
    </w:pPr>
    <w:r>
      <w:rPr>
        <w:szCs w:val="22"/>
      </w:rPr>
      <w:t>Amendment #2</w:t>
    </w:r>
  </w:p>
  <w:p w14:paraId="620D3F82" w14:textId="77777777" w:rsidR="00F77B27" w:rsidRPr="00F77B27" w:rsidRDefault="00F77B27" w:rsidP="00F7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301C"/>
    <w:multiLevelType w:val="hybridMultilevel"/>
    <w:tmpl w:val="57A26B4C"/>
    <w:lvl w:ilvl="0" w:tplc="C09E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727654"/>
    <w:multiLevelType w:val="hybridMultilevel"/>
    <w:tmpl w:val="01C2F01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569805">
    <w:abstractNumId w:val="0"/>
  </w:num>
  <w:num w:numId="2" w16cid:durableId="102432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98"/>
    <w:rsid w:val="00166A0C"/>
    <w:rsid w:val="001D0090"/>
    <w:rsid w:val="001F6CD0"/>
    <w:rsid w:val="00270527"/>
    <w:rsid w:val="00294B78"/>
    <w:rsid w:val="002D4198"/>
    <w:rsid w:val="00343EC6"/>
    <w:rsid w:val="005C6BF8"/>
    <w:rsid w:val="00661671"/>
    <w:rsid w:val="00662BFA"/>
    <w:rsid w:val="0075032B"/>
    <w:rsid w:val="00A12618"/>
    <w:rsid w:val="00A75BFE"/>
    <w:rsid w:val="00B202FB"/>
    <w:rsid w:val="00F17020"/>
    <w:rsid w:val="00F55059"/>
    <w:rsid w:val="00F77B27"/>
    <w:rsid w:val="00FC3ED1"/>
    <w:rsid w:val="00FE465E"/>
    <w:rsid w:val="00FF5BA7"/>
    <w:rsid w:val="04F203F6"/>
    <w:rsid w:val="09A60689"/>
    <w:rsid w:val="0A34F194"/>
    <w:rsid w:val="3A4074AD"/>
    <w:rsid w:val="3AB10D57"/>
    <w:rsid w:val="4E28DA0D"/>
    <w:rsid w:val="6240B90A"/>
    <w:rsid w:val="77A9F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0271"/>
  <w15:chartTrackingRefBased/>
  <w15:docId w15:val="{E39ABA3A-FBA1-4824-BDA3-64F9EAFB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9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D4198"/>
    <w:pPr>
      <w:keepNext/>
      <w:keepLines/>
      <w:spacing w:before="120"/>
      <w:ind w:left="-576" w:right="720"/>
      <w:outlineLvl w:val="0"/>
    </w:pPr>
    <w:rPr>
      <w:rFonts w:eastAsiaTheme="majorEastAsia" w:cstheme="majorBidi"/>
      <w:b/>
      <w:bCs/>
      <w:color w:val="002060"/>
      <w:sz w:val="28"/>
      <w:szCs w:val="28"/>
    </w:rPr>
  </w:style>
  <w:style w:type="paragraph" w:styleId="Heading3">
    <w:name w:val="heading 3"/>
    <w:basedOn w:val="Normal"/>
    <w:next w:val="Normal"/>
    <w:link w:val="Heading3Char"/>
    <w:uiPriority w:val="9"/>
    <w:semiHidden/>
    <w:unhideWhenUsed/>
    <w:qFormat/>
    <w:rsid w:val="00F77B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198"/>
    <w:rPr>
      <w:rFonts w:ascii="Times New Roman" w:eastAsiaTheme="majorEastAsia" w:hAnsi="Times New Roman" w:cstheme="majorBidi"/>
      <w:b/>
      <w:bCs/>
      <w:color w:val="002060"/>
      <w:sz w:val="28"/>
      <w:szCs w:val="28"/>
    </w:rPr>
  </w:style>
  <w:style w:type="paragraph" w:styleId="BodyText">
    <w:name w:val="Body Text"/>
    <w:basedOn w:val="Normal"/>
    <w:link w:val="BodyTextChar"/>
    <w:uiPriority w:val="99"/>
    <w:qFormat/>
    <w:rsid w:val="002D4198"/>
    <w:pPr>
      <w:ind w:left="720"/>
    </w:pPr>
    <w:rPr>
      <w:rFonts w:ascii="Arial" w:hAnsi="Arial"/>
      <w:sz w:val="24"/>
    </w:rPr>
  </w:style>
  <w:style w:type="character" w:customStyle="1" w:styleId="BodyTextChar">
    <w:name w:val="Body Text Char"/>
    <w:basedOn w:val="DefaultParagraphFont"/>
    <w:link w:val="BodyText"/>
    <w:uiPriority w:val="99"/>
    <w:rsid w:val="002D4198"/>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D4198"/>
    <w:rPr>
      <w:sz w:val="16"/>
      <w:szCs w:val="16"/>
    </w:rPr>
  </w:style>
  <w:style w:type="paragraph" w:styleId="CommentText">
    <w:name w:val="annotation text"/>
    <w:basedOn w:val="Normal"/>
    <w:link w:val="CommentTextChar"/>
    <w:uiPriority w:val="99"/>
    <w:unhideWhenUsed/>
    <w:rsid w:val="002D4198"/>
    <w:rPr>
      <w:sz w:val="20"/>
    </w:rPr>
  </w:style>
  <w:style w:type="character" w:customStyle="1" w:styleId="CommentTextChar">
    <w:name w:val="Comment Text Char"/>
    <w:basedOn w:val="DefaultParagraphFont"/>
    <w:link w:val="CommentText"/>
    <w:uiPriority w:val="99"/>
    <w:rsid w:val="002D4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198"/>
    <w:rPr>
      <w:b/>
      <w:bCs/>
    </w:rPr>
  </w:style>
  <w:style w:type="character" w:customStyle="1" w:styleId="CommentSubjectChar">
    <w:name w:val="Comment Subject Char"/>
    <w:basedOn w:val="CommentTextChar"/>
    <w:link w:val="CommentSubject"/>
    <w:uiPriority w:val="99"/>
    <w:semiHidden/>
    <w:rsid w:val="002D4198"/>
    <w:rPr>
      <w:rFonts w:ascii="Times New Roman" w:eastAsia="Times New Roman" w:hAnsi="Times New Roman" w:cs="Times New Roman"/>
      <w:b/>
      <w:bCs/>
      <w:sz w:val="20"/>
      <w:szCs w:val="20"/>
    </w:rPr>
  </w:style>
  <w:style w:type="table" w:styleId="TableGrid">
    <w:name w:val="Table Grid"/>
    <w:basedOn w:val="TableNormal"/>
    <w:uiPriority w:val="39"/>
    <w:rsid w:val="002D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vel 2 List,Response Bullets,Bullet Two,bullet list"/>
    <w:basedOn w:val="Normal"/>
    <w:link w:val="ListParagraphChar"/>
    <w:uiPriority w:val="34"/>
    <w:qFormat/>
    <w:rsid w:val="002D4198"/>
    <w:pPr>
      <w:ind w:left="720"/>
      <w:contextualSpacing/>
    </w:pPr>
  </w:style>
  <w:style w:type="character" w:customStyle="1" w:styleId="normaltextrun">
    <w:name w:val="normaltextrun"/>
    <w:basedOn w:val="DefaultParagraphFont"/>
    <w:rsid w:val="00F77B27"/>
  </w:style>
  <w:style w:type="paragraph" w:styleId="Header">
    <w:name w:val="header"/>
    <w:basedOn w:val="Normal"/>
    <w:link w:val="HeaderChar"/>
    <w:uiPriority w:val="99"/>
    <w:unhideWhenUsed/>
    <w:rsid w:val="00F77B27"/>
    <w:pPr>
      <w:tabs>
        <w:tab w:val="center" w:pos="4680"/>
        <w:tab w:val="right" w:pos="9360"/>
      </w:tabs>
    </w:pPr>
  </w:style>
  <w:style w:type="character" w:customStyle="1" w:styleId="HeaderChar">
    <w:name w:val="Header Char"/>
    <w:basedOn w:val="DefaultParagraphFont"/>
    <w:link w:val="Header"/>
    <w:uiPriority w:val="99"/>
    <w:rsid w:val="00F77B27"/>
    <w:rPr>
      <w:rFonts w:ascii="Times New Roman" w:eastAsia="Times New Roman" w:hAnsi="Times New Roman" w:cs="Times New Roman"/>
      <w:szCs w:val="20"/>
    </w:rPr>
  </w:style>
  <w:style w:type="paragraph" w:styleId="Footer">
    <w:name w:val="footer"/>
    <w:basedOn w:val="Normal"/>
    <w:link w:val="FooterChar"/>
    <w:uiPriority w:val="99"/>
    <w:unhideWhenUsed/>
    <w:rsid w:val="00F77B27"/>
    <w:pPr>
      <w:tabs>
        <w:tab w:val="center" w:pos="4680"/>
        <w:tab w:val="right" w:pos="9360"/>
      </w:tabs>
    </w:pPr>
  </w:style>
  <w:style w:type="character" w:customStyle="1" w:styleId="FooterChar">
    <w:name w:val="Footer Char"/>
    <w:basedOn w:val="DefaultParagraphFont"/>
    <w:link w:val="Footer"/>
    <w:uiPriority w:val="99"/>
    <w:rsid w:val="00F77B27"/>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F77B27"/>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Level 2 List Char,Response Bullets Char,Bullet Two Char,bullet list Char"/>
    <w:basedOn w:val="DefaultParagraphFont"/>
    <w:link w:val="ListParagraph"/>
    <w:uiPriority w:val="34"/>
    <w:rsid w:val="00F77B27"/>
    <w:rPr>
      <w:rFonts w:ascii="Times New Roman" w:eastAsia="Times New Roman" w:hAnsi="Times New Roman" w:cs="Times New Roman"/>
      <w:szCs w:val="20"/>
    </w:rPr>
  </w:style>
  <w:style w:type="character" w:customStyle="1" w:styleId="eop">
    <w:name w:val="eop"/>
    <w:basedOn w:val="DefaultParagraphFont"/>
    <w:rsid w:val="00F7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069FBCA1D044891A093A13205B04C" ma:contentTypeVersion="4" ma:contentTypeDescription="Create a new document." ma:contentTypeScope="" ma:versionID="574da37ac15ab840020d2a70ec6a2c10">
  <xsd:schema xmlns:xsd="http://www.w3.org/2001/XMLSchema" xmlns:xs="http://www.w3.org/2001/XMLSchema" xmlns:p="http://schemas.microsoft.com/office/2006/metadata/properties" xmlns:ns2="caffb87d-6011-4f03-9a56-d0ba241bb5ce" xmlns:ns3="94476d25-172a-49bd-b5c6-097f89be8627" targetNamespace="http://schemas.microsoft.com/office/2006/metadata/properties" ma:root="true" ma:fieldsID="341ffb640ab4e84848aaae12013e5dc9" ns2:_="" ns3:_="">
    <xsd:import namespace="caffb87d-6011-4f03-9a56-d0ba241bb5ce"/>
    <xsd:import namespace="94476d25-172a-49bd-b5c6-097f89be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b87d-6011-4f03-9a56-d0ba241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76d25-172a-49bd-b5c6-097f89be8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2DC14-91C4-406F-BECF-EE909F79E88A}">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caffb87d-6011-4f03-9a56-d0ba241bb5ce"/>
    <ds:schemaRef ds:uri="http://schemas.openxmlformats.org/package/2006/metadata/core-properties"/>
    <ds:schemaRef ds:uri="94476d25-172a-49bd-b5c6-097f89be8627"/>
    <ds:schemaRef ds:uri="http://purl.org/dc/dcmitype/"/>
    <ds:schemaRef ds:uri="http://purl.org/dc/terms/"/>
  </ds:schemaRefs>
</ds:datastoreItem>
</file>

<file path=customXml/itemProps2.xml><?xml version="1.0" encoding="utf-8"?>
<ds:datastoreItem xmlns:ds="http://schemas.openxmlformats.org/officeDocument/2006/customXml" ds:itemID="{2BB35A3D-ABCD-4797-9630-59208DABA66F}">
  <ds:schemaRefs>
    <ds:schemaRef ds:uri="http://schemas.microsoft.com/sharepoint/v3/contenttype/forms"/>
  </ds:schemaRefs>
</ds:datastoreItem>
</file>

<file path=customXml/itemProps3.xml><?xml version="1.0" encoding="utf-8"?>
<ds:datastoreItem xmlns:ds="http://schemas.openxmlformats.org/officeDocument/2006/customXml" ds:itemID="{0CA81A52-1968-479D-B68A-6DC5D594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b87d-6011-4f03-9a56-d0ba241bb5ce"/>
    <ds:schemaRef ds:uri="94476d25-172a-49bd-b5c6-097f89be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dc:description/>
  <cp:lastModifiedBy>Jeanette A. Crawford</cp:lastModifiedBy>
  <cp:revision>10</cp:revision>
  <cp:lastPrinted>2023-01-03T20:24:00Z</cp:lastPrinted>
  <dcterms:created xsi:type="dcterms:W3CDTF">2023-01-03T20:01:00Z</dcterms:created>
  <dcterms:modified xsi:type="dcterms:W3CDTF">2023-01-10T21:46:00Z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0x010100D84069FBCA1D044891A093A13205B04C</vt:lpwstr>
  </property>
</Properties>
</file>