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8C90" w14:textId="7B95457F" w:rsidR="00100104" w:rsidRDefault="00E06BBD">
      <w:r>
        <w:rPr>
          <w:noProof/>
        </w:rPr>
        <w:drawing>
          <wp:inline distT="0" distB="0" distL="0" distR="0" wp14:anchorId="28981CCA" wp14:editId="635A7F5D">
            <wp:extent cx="7357159" cy="5260369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3624" cy="526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104" w:rsidSect="00E06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BD"/>
    <w:rsid w:val="00100104"/>
    <w:rsid w:val="00E0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5926"/>
  <w15:chartTrackingRefBased/>
  <w15:docId w15:val="{0F702BE3-C75E-4587-A3F9-4D20C952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Mississippi Department of Transportation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Draper, Lacey M.</dc:creator>
  <cp:keywords/>
  <dc:description/>
  <cp:lastModifiedBy>Draper, Lacey M.</cp:lastModifiedBy>
  <cp:revision>1</cp:revision>
  <cp:lastPrinted>2022-10-03T14:42:00Z</cp:lastPrinted>
  <dcterms:created xsi:type="dcterms:W3CDTF">2022-10-03T14:40:00Z</dcterms:created>
  <dcterms:modified xsi:type="dcterms:W3CDTF">2022-10-03T14:44:00Z</dcterms:modified>
</cp:coreProperties>
</file>