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498CDB07"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3160005</w:t>
      </w:r>
      <w:r w:rsidR="008B3F2D">
        <w:rPr>
          <w:rFonts w:ascii="Times New Roman" w:hAnsi="Times New Roman"/>
          <w:b/>
          <w:bCs/>
          <w:sz w:val="24"/>
          <w:szCs w:val="24"/>
          <w:u w:val="single"/>
        </w:rPr>
        <w:t>57</w:t>
      </w:r>
      <w:r w:rsidR="00826ECE">
        <w:rPr>
          <w:rFonts w:ascii="Times New Roman" w:hAnsi="Times New Roman"/>
          <w:b/>
          <w:bCs/>
          <w:sz w:val="24"/>
          <w:szCs w:val="24"/>
          <w:u w:val="single"/>
        </w:rPr>
        <w:t>5</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9DE9856"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826ECE">
        <w:rPr>
          <w:rFonts w:ascii="Times New Roman" w:hAnsi="Times New Roman"/>
          <w:b/>
          <w:bCs/>
          <w:color w:val="000000"/>
          <w:sz w:val="24"/>
          <w:szCs w:val="24"/>
          <w:u w:val="single"/>
        </w:rPr>
        <w:t>June 30</w:t>
      </w:r>
      <w:r w:rsidR="008A540D">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DD4D2D">
        <w:rPr>
          <w:rFonts w:ascii="Times New Roman" w:hAnsi="Times New Roman"/>
          <w:bCs/>
          <w:color w:val="000000"/>
          <w:sz w:val="24"/>
          <w:szCs w:val="24"/>
        </w:rPr>
        <w:t>three</w:t>
      </w:r>
      <w:r w:rsidR="00A04A48" w:rsidRPr="00B52ADB">
        <w:rPr>
          <w:rFonts w:ascii="Times New Roman" w:hAnsi="Times New Roman"/>
          <w:bCs/>
          <w:color w:val="000000"/>
          <w:sz w:val="24"/>
          <w:szCs w:val="24"/>
        </w:rPr>
        <w:t xml:space="preserve"> (</w:t>
      </w:r>
      <w:r w:rsidR="00DD4D2D">
        <w:rPr>
          <w:rFonts w:ascii="Times New Roman" w:hAnsi="Times New Roman"/>
          <w:bCs/>
          <w:color w:val="000000"/>
          <w:sz w:val="24"/>
          <w:szCs w:val="24"/>
        </w:rPr>
        <w:t>3</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826ECE">
        <w:rPr>
          <w:rFonts w:ascii="Times New Roman" w:hAnsi="Times New Roman"/>
          <w:b/>
          <w:bCs/>
          <w:color w:val="000000"/>
          <w:sz w:val="24"/>
          <w:szCs w:val="24"/>
          <w:u w:val="single"/>
        </w:rPr>
        <w:t>Core Drill Rig- Tractor Mounted</w:t>
      </w:r>
      <w:r w:rsidR="00D46DDF">
        <w:rPr>
          <w:rFonts w:ascii="Times New Roman" w:hAnsi="Times New Roman"/>
          <w:b/>
          <w:bCs/>
          <w:color w:val="000000"/>
          <w:sz w:val="24"/>
          <w:szCs w:val="24"/>
          <w:u w:val="single"/>
        </w:rPr>
        <w:t xml:space="preserv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6F510BC"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826ECE">
        <w:rPr>
          <w:rFonts w:ascii="Times New Roman" w:hAnsi="Times New Roman"/>
          <w:b/>
          <w:bCs/>
          <w:color w:val="000000"/>
          <w:sz w:val="24"/>
          <w:szCs w:val="24"/>
          <w:u w:val="single"/>
        </w:rPr>
        <w:t>Core Drill Rig- Tractor Mounted</w:t>
      </w:r>
      <w:r w:rsidR="00826ECE" w:rsidRPr="009A2E3D">
        <w:rPr>
          <w:rFonts w:ascii="Times New Roman" w:hAnsi="Times New Roman"/>
          <w:sz w:val="24"/>
          <w:szCs w:val="24"/>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340563A7"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3160005</w:t>
      </w:r>
      <w:r w:rsidR="008B3F2D">
        <w:rPr>
          <w:rFonts w:ascii="Times New Roman" w:hAnsi="Times New Roman"/>
          <w:b/>
          <w:color w:val="000000"/>
          <w:sz w:val="24"/>
          <w:szCs w:val="24"/>
        </w:rPr>
        <w:t>57</w:t>
      </w:r>
      <w:r w:rsidR="00826ECE">
        <w:rPr>
          <w:rFonts w:ascii="Times New Roman" w:hAnsi="Times New Roman"/>
          <w:b/>
          <w:color w:val="000000"/>
          <w:sz w:val="24"/>
          <w:szCs w:val="24"/>
        </w:rPr>
        <w:t>5</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5BB6" w14:textId="77777777" w:rsidR="007900F9" w:rsidRDefault="007900F9">
      <w:pPr>
        <w:spacing w:line="20" w:lineRule="exact"/>
        <w:rPr>
          <w:rFonts w:ascii="Courier New" w:hAnsi="Courier New"/>
          <w:sz w:val="24"/>
        </w:rPr>
      </w:pPr>
    </w:p>
  </w:endnote>
  <w:endnote w:type="continuationSeparator" w:id="0">
    <w:p w14:paraId="3193BF32" w14:textId="77777777" w:rsidR="007900F9" w:rsidRDefault="007900F9">
      <w:r>
        <w:rPr>
          <w:rFonts w:ascii="Courier New" w:hAnsi="Courier New"/>
          <w:sz w:val="24"/>
        </w:rPr>
        <w:t xml:space="preserve"> </w:t>
      </w:r>
    </w:p>
  </w:endnote>
  <w:endnote w:type="continuationNotice" w:id="1">
    <w:p w14:paraId="752C4D92" w14:textId="77777777" w:rsidR="007900F9" w:rsidRDefault="007900F9">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AB5B" w14:textId="77777777" w:rsidR="007900F9" w:rsidRDefault="007900F9">
      <w:r>
        <w:rPr>
          <w:rFonts w:ascii="Courier New" w:hAnsi="Courier New"/>
          <w:sz w:val="24"/>
        </w:rPr>
        <w:separator/>
      </w:r>
    </w:p>
  </w:footnote>
  <w:footnote w:type="continuationSeparator" w:id="0">
    <w:p w14:paraId="331CEE6E" w14:textId="77777777" w:rsidR="007900F9" w:rsidRDefault="0079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0F9"/>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26ECE"/>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2022-11-21T21:01:00Z</dcterms:created>
  <dcterms:modified xsi:type="dcterms:W3CDTF">2022-11-21T21:01:00Z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