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7C849997"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7016E3">
        <w:rPr>
          <w:rFonts w:ascii="Times New Roman" w:hAnsi="Times New Roman"/>
          <w:b/>
          <w:bCs/>
          <w:sz w:val="24"/>
          <w:szCs w:val="24"/>
          <w:u w:val="single"/>
        </w:rPr>
        <w:t>3160005627</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7A6C3F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7016E3">
        <w:rPr>
          <w:rFonts w:ascii="Times New Roman" w:hAnsi="Times New Roman"/>
          <w:b/>
          <w:bCs/>
          <w:color w:val="000000"/>
          <w:sz w:val="24"/>
          <w:szCs w:val="24"/>
          <w:u w:val="single"/>
        </w:rPr>
        <w:t>September</w:t>
      </w:r>
      <w:r w:rsidR="00C45A5C">
        <w:rPr>
          <w:rFonts w:ascii="Times New Roman" w:hAnsi="Times New Roman"/>
          <w:b/>
          <w:bCs/>
          <w:color w:val="000000"/>
          <w:sz w:val="24"/>
          <w:szCs w:val="24"/>
          <w:u w:val="single"/>
        </w:rPr>
        <w:t xml:space="preserve"> 3</w:t>
      </w:r>
      <w:r w:rsidR="007016E3">
        <w:rPr>
          <w:rFonts w:ascii="Times New Roman" w:hAnsi="Times New Roman"/>
          <w:b/>
          <w:bCs/>
          <w:color w:val="000000"/>
          <w:sz w:val="24"/>
          <w:szCs w:val="24"/>
          <w:u w:val="single"/>
        </w:rPr>
        <w:t>0</w:t>
      </w:r>
      <w:r w:rsidR="00A41E41">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EA1B7E">
        <w:rPr>
          <w:rFonts w:ascii="Times New Roman" w:hAnsi="Times New Roman"/>
          <w:b/>
          <w:color w:val="000000"/>
          <w:sz w:val="24"/>
          <w:szCs w:val="24"/>
        </w:rPr>
        <w:t>66</w:t>
      </w:r>
      <w:r w:rsidR="00EA1B7E">
        <w:rPr>
          <w:rFonts w:ascii="Times New Roman" w:hAnsi="Times New Roman"/>
          <w:b/>
          <w:color w:val="000000"/>
          <w:sz w:val="24"/>
          <w:szCs w:val="24"/>
        </w:rPr>
        <w:t>,</w:t>
      </w:r>
      <w:r w:rsidR="00EA1B7E">
        <w:rPr>
          <w:rFonts w:ascii="Times New Roman" w:hAnsi="Times New Roman"/>
          <w:b/>
          <w:color w:val="000000"/>
          <w:sz w:val="24"/>
          <w:szCs w:val="24"/>
        </w:rPr>
        <w:t>000 GVWR, Conventional Cab and Chassis, Tandem Axl</w:t>
      </w:r>
      <w:r w:rsidR="00EA1B7E" w:rsidRPr="00991CC8">
        <w:rPr>
          <w:rFonts w:ascii="Times New Roman" w:hAnsi="Times New Roman"/>
          <w:b/>
          <w:color w:val="000000"/>
          <w:sz w:val="24"/>
          <w:szCs w:val="24"/>
        </w:rPr>
        <w:t>e</w:t>
      </w:r>
      <w:r w:rsidR="00C45A5C">
        <w:rPr>
          <w:rFonts w:ascii="Times New Roman" w:hAnsi="Times New Roman"/>
          <w:b/>
          <w:color w:val="000000"/>
          <w:sz w:val="24"/>
          <w:szCs w:val="24"/>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435297A0"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7016E3">
        <w:rPr>
          <w:rFonts w:ascii="Times New Roman" w:hAnsi="Times New Roman"/>
          <w:b/>
          <w:color w:val="000000"/>
          <w:sz w:val="24"/>
          <w:szCs w:val="24"/>
        </w:rPr>
        <w:t>66</w:t>
      </w:r>
      <w:r w:rsidR="00EA1B7E">
        <w:rPr>
          <w:rFonts w:ascii="Times New Roman" w:hAnsi="Times New Roman"/>
          <w:b/>
          <w:color w:val="000000"/>
          <w:sz w:val="24"/>
          <w:szCs w:val="24"/>
        </w:rPr>
        <w:t>,</w:t>
      </w:r>
      <w:r w:rsidR="007016E3">
        <w:rPr>
          <w:rFonts w:ascii="Times New Roman" w:hAnsi="Times New Roman"/>
          <w:b/>
          <w:color w:val="000000"/>
          <w:sz w:val="24"/>
          <w:szCs w:val="24"/>
        </w:rPr>
        <w:t>000 GVWR, Conventional Cab and Chassis, Tandem Axl</w:t>
      </w:r>
      <w:r w:rsidR="007016E3" w:rsidRPr="00991CC8">
        <w:rPr>
          <w:rFonts w:ascii="Times New Roman" w:hAnsi="Times New Roman"/>
          <w:b/>
          <w:color w:val="000000"/>
          <w:sz w:val="24"/>
          <w:szCs w:val="24"/>
        </w:rPr>
        <w:t>e</w:t>
      </w:r>
      <w:r w:rsidR="007016E3">
        <w:rPr>
          <w:rFonts w:ascii="Times New Roman" w:hAnsi="Times New Roman"/>
          <w:b/>
          <w:color w:val="000000"/>
          <w:sz w:val="28"/>
          <w:szCs w:val="28"/>
        </w:rPr>
        <w:t xml:space="preserve">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460A21D7"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7016E3">
        <w:rPr>
          <w:rFonts w:ascii="Times New Roman" w:hAnsi="Times New Roman"/>
          <w:b/>
          <w:color w:val="000000"/>
          <w:sz w:val="24"/>
          <w:szCs w:val="24"/>
        </w:rPr>
        <w:t>3160005627</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42758AF0"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7016E3">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28932758"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7016E3">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EB90" w14:textId="77777777" w:rsidR="006732C3" w:rsidRDefault="006732C3">
      <w:pPr>
        <w:spacing w:line="20" w:lineRule="exact"/>
        <w:rPr>
          <w:rFonts w:ascii="Courier New" w:hAnsi="Courier New"/>
          <w:sz w:val="24"/>
        </w:rPr>
      </w:pPr>
    </w:p>
  </w:endnote>
  <w:endnote w:type="continuationSeparator" w:id="0">
    <w:p w14:paraId="53F1399A" w14:textId="77777777" w:rsidR="006732C3" w:rsidRDefault="006732C3">
      <w:r>
        <w:rPr>
          <w:rFonts w:ascii="Courier New" w:hAnsi="Courier New"/>
          <w:sz w:val="24"/>
        </w:rPr>
        <w:t xml:space="preserve"> </w:t>
      </w:r>
    </w:p>
  </w:endnote>
  <w:endnote w:type="continuationNotice" w:id="1">
    <w:p w14:paraId="524591AD" w14:textId="77777777" w:rsidR="006732C3" w:rsidRDefault="006732C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F4C5" w14:textId="77777777" w:rsidR="006732C3" w:rsidRDefault="006732C3">
      <w:r>
        <w:rPr>
          <w:rFonts w:ascii="Courier New" w:hAnsi="Courier New"/>
          <w:sz w:val="24"/>
        </w:rPr>
        <w:separator/>
      </w:r>
    </w:p>
  </w:footnote>
  <w:footnote w:type="continuationSeparator" w:id="0">
    <w:p w14:paraId="34D3667D" w14:textId="77777777" w:rsidR="006732C3" w:rsidRDefault="00673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25652"/>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2B38"/>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732C3"/>
    <w:rsid w:val="00693936"/>
    <w:rsid w:val="006A4639"/>
    <w:rsid w:val="006A74B1"/>
    <w:rsid w:val="006A7A86"/>
    <w:rsid w:val="006B0734"/>
    <w:rsid w:val="006B086B"/>
    <w:rsid w:val="006B577F"/>
    <w:rsid w:val="006C0D1B"/>
    <w:rsid w:val="006D0349"/>
    <w:rsid w:val="006F0341"/>
    <w:rsid w:val="006F040F"/>
    <w:rsid w:val="006F6104"/>
    <w:rsid w:val="007016E3"/>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2B9B"/>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45A5C"/>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1B7E"/>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2023-01-11T14:38:00Z</dcterms:created>
  <dcterms:modified xsi:type="dcterms:W3CDTF">2023-01-11T14:38:00Z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