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1D00E6" w:rsidRPr="00871DB3" w:rsidRDefault="001D00E6"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178-65</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Default="00F422D4"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Complete </w:t>
      </w:r>
      <w:r w:rsidR="00851294">
        <w:rPr>
          <w:rFonts w:ascii="Times New Roman" w:hAnsi="Times New Roman" w:cs="Times New Roman"/>
          <w:sz w:val="24"/>
          <w:szCs w:val="24"/>
        </w:rPr>
        <w:t>B</w:t>
      </w:r>
      <w:r>
        <w:rPr>
          <w:rFonts w:ascii="Times New Roman" w:hAnsi="Times New Roman" w:cs="Times New Roman"/>
          <w:sz w:val="24"/>
          <w:szCs w:val="24"/>
        </w:rPr>
        <w:t xml:space="preserve">lood </w:t>
      </w:r>
      <w:r w:rsidR="00851294">
        <w:rPr>
          <w:rFonts w:ascii="Times New Roman" w:hAnsi="Times New Roman" w:cs="Times New Roman"/>
          <w:sz w:val="24"/>
          <w:szCs w:val="24"/>
        </w:rPr>
        <w:t>G</w:t>
      </w:r>
      <w:r>
        <w:rPr>
          <w:rFonts w:ascii="Times New Roman" w:hAnsi="Times New Roman" w:cs="Times New Roman"/>
          <w:sz w:val="24"/>
          <w:szCs w:val="24"/>
        </w:rPr>
        <w:t xml:space="preserve">as </w:t>
      </w:r>
      <w:r w:rsidR="00851294">
        <w:rPr>
          <w:rFonts w:ascii="Times New Roman" w:hAnsi="Times New Roman" w:cs="Times New Roman"/>
          <w:sz w:val="24"/>
          <w:szCs w:val="24"/>
        </w:rPr>
        <w:t>S</w:t>
      </w:r>
      <w:r>
        <w:rPr>
          <w:rFonts w:ascii="Times New Roman" w:hAnsi="Times New Roman" w:cs="Times New Roman"/>
          <w:sz w:val="24"/>
          <w:szCs w:val="24"/>
        </w:rPr>
        <w:t xml:space="preserve">ystem (for ectotherms) (product number: SY11500, Loligo Systems, Inc.). </w:t>
      </w:r>
    </w:p>
    <w:p w:rsidR="00F422D4" w:rsidRDefault="00F422D4"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Description: System combines three devices and software for automated measurements of complete step-wise oxygen equilibration curves of respiratory pigments and precise pH sampling over a broad range of temperatures and gas mixtures. System includes: blood oxygen binding system, gas mixing system and a pH micrometer. </w:t>
      </w: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C90186" w:rsidRDefault="009A1587" w:rsidP="0013312A">
      <w:pPr>
        <w:suppressAutoHyphens/>
        <w:ind w:left="720"/>
        <w:rPr>
          <w:rFonts w:ascii="Times New Roman" w:hAnsi="Times New Roman" w:cs="Times New Roman"/>
          <w:sz w:val="24"/>
          <w:szCs w:val="24"/>
        </w:rPr>
      </w:pPr>
      <w:r w:rsidRPr="007A600F">
        <w:rPr>
          <w:rFonts w:ascii="Times New Roman" w:hAnsi="Times New Roman" w:cs="Times New Roman"/>
          <w:sz w:val="24"/>
          <w:szCs w:val="24"/>
        </w:rPr>
        <w:t xml:space="preserve">This instrument is an integrated system that is able to generate research quality data for a range of environmental conditions under which ectotherms live. This system </w:t>
      </w:r>
      <w:r w:rsidR="007A600F" w:rsidRPr="007A600F">
        <w:rPr>
          <w:rFonts w:ascii="Times New Roman" w:hAnsi="Times New Roman" w:cs="Times New Roman"/>
          <w:sz w:val="24"/>
          <w:szCs w:val="24"/>
        </w:rPr>
        <w:t>allows the user to manipulate temperature</w:t>
      </w:r>
      <w:r w:rsidR="00053B5B">
        <w:rPr>
          <w:rFonts w:ascii="Times New Roman" w:hAnsi="Times New Roman" w:cs="Times New Roman"/>
          <w:sz w:val="24"/>
          <w:szCs w:val="24"/>
        </w:rPr>
        <w:t>, gas concentrations</w:t>
      </w:r>
      <w:r w:rsidR="007A600F" w:rsidRPr="007A600F">
        <w:rPr>
          <w:rFonts w:ascii="Times New Roman" w:hAnsi="Times New Roman" w:cs="Times New Roman"/>
          <w:sz w:val="24"/>
          <w:szCs w:val="24"/>
        </w:rPr>
        <w:t xml:space="preserve"> and pH conditions and examine blood level responses in gas exchange of respiratory pigments.</w:t>
      </w:r>
      <w:r w:rsidR="00053B5B">
        <w:rPr>
          <w:rFonts w:ascii="Times New Roman" w:hAnsi="Times New Roman" w:cs="Times New Roman"/>
          <w:sz w:val="24"/>
          <w:szCs w:val="24"/>
        </w:rPr>
        <w:t xml:space="preserve"> Further, analyses require low blood volumes and are interfaced with specially designed computer software making instrument use efficient and very beneficial for rapid sample processing and analysis.</w:t>
      </w:r>
      <w:r w:rsidR="007A600F" w:rsidRPr="007A600F">
        <w:rPr>
          <w:rFonts w:ascii="Times New Roman" w:hAnsi="Times New Roman" w:cs="Times New Roman"/>
          <w:sz w:val="24"/>
          <w:szCs w:val="24"/>
        </w:rPr>
        <w:t xml:space="preserve"> </w:t>
      </w:r>
      <w:r w:rsidR="00C90186">
        <w:rPr>
          <w:rFonts w:ascii="Times New Roman" w:hAnsi="Times New Roman" w:cs="Times New Roman"/>
          <w:sz w:val="24"/>
          <w:szCs w:val="24"/>
        </w:rPr>
        <w:t xml:space="preserve">Other available systems are designed for endotherms or mammals, and are primarily marketed to the medical industry. These instruments are clinical in application, and are not made to have the versatility for a range of environmental conditions under which ectotherms survive, nor to provide research-level data quality. </w:t>
      </w:r>
    </w:p>
    <w:p w:rsidR="00DA5C58" w:rsidRPr="007A600F" w:rsidRDefault="007A600F" w:rsidP="0013312A">
      <w:pPr>
        <w:suppressAutoHyphens/>
        <w:ind w:left="720"/>
        <w:rPr>
          <w:rFonts w:ascii="Times New Roman" w:hAnsi="Times New Roman" w:cs="Times New Roman"/>
          <w:sz w:val="24"/>
          <w:szCs w:val="24"/>
        </w:rPr>
      </w:pPr>
      <w:r w:rsidRPr="007A600F">
        <w:rPr>
          <w:rFonts w:ascii="Times New Roman" w:hAnsi="Times New Roman" w:cs="Times New Roman"/>
          <w:sz w:val="24"/>
          <w:szCs w:val="24"/>
        </w:rPr>
        <w:t xml:space="preserve">This instrument facilitates a broad range of investigations in the principal investigator’s laboratory (Dr. Peter Allen, Department of Wildlife, Fisheries and Aquaculture) on ectotherms, such as fishes and crustaceans. The immediate use of the instrument will be to examine changes in channel and hybrid catfish, but possibilities are broad, and include other fishes, crustaceans, </w:t>
      </w:r>
      <w:r w:rsidR="00C90186">
        <w:rPr>
          <w:rFonts w:ascii="Times New Roman" w:hAnsi="Times New Roman" w:cs="Times New Roman"/>
          <w:sz w:val="24"/>
          <w:szCs w:val="24"/>
        </w:rPr>
        <w:t xml:space="preserve">amphibians, reptiles, </w:t>
      </w:r>
      <w:r w:rsidRPr="007A600F">
        <w:rPr>
          <w:rFonts w:ascii="Times New Roman" w:hAnsi="Times New Roman" w:cs="Times New Roman"/>
          <w:sz w:val="24"/>
          <w:szCs w:val="24"/>
        </w:rPr>
        <w:t>etc.</w:t>
      </w:r>
      <w:r w:rsidR="00053B5B">
        <w:rPr>
          <w:rFonts w:ascii="Times New Roman" w:hAnsi="Times New Roman" w:cs="Times New Roman"/>
          <w:sz w:val="24"/>
          <w:szCs w:val="24"/>
        </w:rPr>
        <w:t xml:space="preserve"> Many other faculty in the department and across campus can use the instrument, as well as collaborators at the National Warmwater Aquaculture Center in Stoneville, MS.</w:t>
      </w:r>
    </w:p>
    <w:p w:rsidR="007A600F" w:rsidRPr="007A600F" w:rsidRDefault="007A600F" w:rsidP="0013312A">
      <w:pPr>
        <w:suppressAutoHyphens/>
        <w:ind w:left="720"/>
        <w:rPr>
          <w:rFonts w:ascii="Times New Roman" w:hAnsi="Times New Roman" w:cs="Times New Roman"/>
          <w:sz w:val="24"/>
          <w:szCs w:val="24"/>
        </w:rPr>
      </w:pPr>
      <w:r w:rsidRPr="007A600F">
        <w:rPr>
          <w:rFonts w:ascii="Times New Roman" w:hAnsi="Times New Roman" w:cs="Times New Roman"/>
          <w:sz w:val="24"/>
          <w:szCs w:val="24"/>
        </w:rPr>
        <w:t xml:space="preserve">Understanding of the links between environment, handling and physiological homeostasis are limited in aquaculture, and particularly for hybrid catfish, which is currently 50% of production in the catfish industry. This information is necessary for industry adaptation to environmental change, improvement of harvest practices and adoption of more intensive </w:t>
      </w:r>
      <w:r w:rsidRPr="007A600F">
        <w:rPr>
          <w:rFonts w:ascii="Times New Roman" w:hAnsi="Times New Roman" w:cs="Times New Roman"/>
          <w:sz w:val="24"/>
          <w:szCs w:val="24"/>
        </w:rPr>
        <w:lastRenderedPageBreak/>
        <w:t xml:space="preserve">culture practices. The Loligo Systems instrument provides the ability to measure these types of effects. Environmental influences on homeostasis, metabolism and disease resistance will be benefited through the use of this instrument in the analysis of gas handling within the blood.  </w:t>
      </w:r>
    </w:p>
    <w:p w:rsidR="0013312A" w:rsidRDefault="009A1587" w:rsidP="0013312A">
      <w:pPr>
        <w:suppressAutoHyphens/>
        <w:ind w:left="720"/>
        <w:rPr>
          <w:rFonts w:ascii="Times New Roman" w:hAnsi="Times New Roman" w:cs="Times New Roman"/>
          <w:sz w:val="24"/>
          <w:szCs w:val="24"/>
        </w:rPr>
      </w:pPr>
      <w:r w:rsidRPr="007A600F">
        <w:rPr>
          <w:rFonts w:ascii="Times New Roman" w:hAnsi="Times New Roman" w:cs="Times New Roman"/>
          <w:sz w:val="24"/>
          <w:szCs w:val="24"/>
        </w:rPr>
        <w:t xml:space="preserve">A competitive external grant has been awarded to </w:t>
      </w:r>
      <w:r w:rsidR="00C535F9" w:rsidRPr="007A600F">
        <w:rPr>
          <w:rFonts w:ascii="Times New Roman" w:hAnsi="Times New Roman" w:cs="Times New Roman"/>
          <w:sz w:val="24"/>
          <w:szCs w:val="24"/>
        </w:rPr>
        <w:t>Dr. Allen</w:t>
      </w:r>
      <w:r w:rsidR="00C535F9">
        <w:rPr>
          <w:rFonts w:ascii="Times New Roman" w:hAnsi="Times New Roman" w:cs="Times New Roman"/>
          <w:sz w:val="24"/>
          <w:szCs w:val="24"/>
        </w:rPr>
        <w:t xml:space="preserve">, </w:t>
      </w:r>
      <w:r>
        <w:rPr>
          <w:rFonts w:ascii="Times New Roman" w:hAnsi="Times New Roman" w:cs="Times New Roman"/>
          <w:sz w:val="24"/>
          <w:szCs w:val="24"/>
        </w:rPr>
        <w:t xml:space="preserve">specifically </w:t>
      </w:r>
      <w:r w:rsidR="00B6504F">
        <w:rPr>
          <w:rFonts w:ascii="Times New Roman" w:hAnsi="Times New Roman" w:cs="Times New Roman"/>
          <w:sz w:val="24"/>
          <w:szCs w:val="24"/>
        </w:rPr>
        <w:t xml:space="preserve">to </w:t>
      </w:r>
      <w:r>
        <w:rPr>
          <w:rFonts w:ascii="Times New Roman" w:hAnsi="Times New Roman" w:cs="Times New Roman"/>
          <w:sz w:val="24"/>
          <w:szCs w:val="24"/>
        </w:rPr>
        <w:t>purchase this instrument, from the US Department of Agriculture (USDA), Agriculture and Food Research Initiative (AFRI) Foundational grant</w:t>
      </w:r>
      <w:r w:rsidR="00B45011">
        <w:rPr>
          <w:rFonts w:ascii="Times New Roman" w:hAnsi="Times New Roman" w:cs="Times New Roman"/>
          <w:sz w:val="24"/>
          <w:szCs w:val="24"/>
        </w:rPr>
        <w:t xml:space="preserve"> (proposal# 2017-05803)</w:t>
      </w:r>
      <w:r>
        <w:rPr>
          <w:rFonts w:ascii="Times New Roman" w:hAnsi="Times New Roman" w:cs="Times New Roman"/>
          <w:sz w:val="24"/>
          <w:szCs w:val="24"/>
        </w:rPr>
        <w:t xml:space="preserve">. </w:t>
      </w:r>
      <w:r w:rsidR="007A600F">
        <w:rPr>
          <w:rFonts w:ascii="Times New Roman" w:hAnsi="Times New Roman" w:cs="Times New Roman"/>
          <w:sz w:val="24"/>
          <w:szCs w:val="24"/>
        </w:rPr>
        <w:t>The objectives of the grant cannot be met without this instrument.</w:t>
      </w:r>
    </w:p>
    <w:p w:rsidR="00B43762" w:rsidRDefault="00B43762" w:rsidP="0013312A">
      <w:pPr>
        <w:suppressAutoHyphens/>
        <w:ind w:left="720"/>
        <w:rPr>
          <w:rFonts w:ascii="Times New Roman" w:hAnsi="Times New Roman" w:cs="Times New Roman"/>
          <w:sz w:val="24"/>
          <w:szCs w:val="24"/>
        </w:rPr>
      </w:pPr>
    </w:p>
    <w:p w:rsidR="001A7BA2" w:rsidRDefault="001A7BA2"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9B1962" w:rsidRDefault="009B1962" w:rsidP="009B1962">
      <w:pPr>
        <w:suppressAutoHyphens/>
        <w:spacing w:after="0"/>
        <w:ind w:left="720"/>
        <w:rPr>
          <w:rFonts w:ascii="Times New Roman" w:hAnsi="Times New Roman" w:cs="Times New Roman"/>
          <w:sz w:val="24"/>
          <w:szCs w:val="24"/>
        </w:rPr>
      </w:pPr>
      <w:r>
        <w:rPr>
          <w:rFonts w:ascii="Times New Roman" w:hAnsi="Times New Roman" w:cs="Times New Roman"/>
          <w:sz w:val="24"/>
          <w:szCs w:val="24"/>
        </w:rPr>
        <w:t>Loligo Systems, Inc.</w:t>
      </w:r>
    </w:p>
    <w:p w:rsidR="009B1962" w:rsidRDefault="009B1962" w:rsidP="009B1962">
      <w:pPr>
        <w:suppressAutoHyphens/>
        <w:spacing w:after="0"/>
        <w:ind w:left="720"/>
        <w:rPr>
          <w:rFonts w:ascii="Times New Roman" w:hAnsi="Times New Roman" w:cs="Times New Roman"/>
          <w:sz w:val="24"/>
          <w:szCs w:val="24"/>
        </w:rPr>
      </w:pPr>
      <w:r>
        <w:rPr>
          <w:rFonts w:ascii="Times New Roman" w:hAnsi="Times New Roman" w:cs="Times New Roman"/>
          <w:sz w:val="24"/>
          <w:szCs w:val="24"/>
        </w:rPr>
        <w:t>Toldboden 3</w:t>
      </w:r>
      <w:r w:rsidR="009C7054">
        <w:rPr>
          <w:rFonts w:ascii="Times New Roman" w:hAnsi="Times New Roman" w:cs="Times New Roman"/>
          <w:sz w:val="24"/>
          <w:szCs w:val="24"/>
        </w:rPr>
        <w:t>, 2</w:t>
      </w:r>
      <w:r w:rsidR="009C7054" w:rsidRPr="009C7054">
        <w:rPr>
          <w:rFonts w:ascii="Times New Roman" w:hAnsi="Times New Roman" w:cs="Times New Roman"/>
          <w:sz w:val="24"/>
          <w:szCs w:val="24"/>
          <w:vertAlign w:val="superscript"/>
        </w:rPr>
        <w:t>nd</w:t>
      </w:r>
      <w:r w:rsidR="009C7054">
        <w:rPr>
          <w:rFonts w:ascii="Times New Roman" w:hAnsi="Times New Roman" w:cs="Times New Roman"/>
          <w:sz w:val="24"/>
          <w:szCs w:val="24"/>
        </w:rPr>
        <w:t xml:space="preserve"> Floor</w:t>
      </w:r>
    </w:p>
    <w:p w:rsidR="009B1962" w:rsidRDefault="009B1962" w:rsidP="009B1962">
      <w:pPr>
        <w:suppressAutoHyphens/>
        <w:spacing w:after="0"/>
        <w:ind w:left="720"/>
        <w:rPr>
          <w:rFonts w:ascii="Times New Roman" w:hAnsi="Times New Roman" w:cs="Times New Roman"/>
          <w:sz w:val="24"/>
          <w:szCs w:val="24"/>
        </w:rPr>
      </w:pPr>
      <w:r>
        <w:rPr>
          <w:rFonts w:ascii="Times New Roman" w:hAnsi="Times New Roman" w:cs="Times New Roman"/>
          <w:sz w:val="24"/>
          <w:szCs w:val="24"/>
        </w:rPr>
        <w:t>DK-8800</w:t>
      </w:r>
      <w:r w:rsidR="00851294">
        <w:rPr>
          <w:rFonts w:ascii="Times New Roman" w:hAnsi="Times New Roman" w:cs="Times New Roman"/>
          <w:sz w:val="24"/>
          <w:szCs w:val="24"/>
        </w:rPr>
        <w:t xml:space="preserve"> </w:t>
      </w:r>
    </w:p>
    <w:p w:rsidR="0013312A" w:rsidRDefault="00851294" w:rsidP="009B1962">
      <w:pPr>
        <w:suppressAutoHyphens/>
        <w:spacing w:after="0"/>
        <w:ind w:left="720"/>
        <w:rPr>
          <w:rFonts w:ascii="Times New Roman" w:hAnsi="Times New Roman" w:cs="Times New Roman"/>
          <w:sz w:val="24"/>
          <w:szCs w:val="24"/>
        </w:rPr>
      </w:pPr>
      <w:r>
        <w:rPr>
          <w:rFonts w:ascii="Times New Roman" w:hAnsi="Times New Roman" w:cs="Times New Roman"/>
          <w:sz w:val="24"/>
          <w:szCs w:val="24"/>
        </w:rPr>
        <w:t>Viborg, Denmark</w:t>
      </w:r>
    </w:p>
    <w:p w:rsidR="009B1962" w:rsidRDefault="009B1962" w:rsidP="009B1962">
      <w:pPr>
        <w:suppressAutoHyphens/>
        <w:spacing w:after="0"/>
        <w:ind w:left="720"/>
        <w:rPr>
          <w:rFonts w:ascii="Times New Roman" w:hAnsi="Times New Roman" w:cs="Times New Roman"/>
          <w:sz w:val="24"/>
          <w:szCs w:val="24"/>
        </w:rPr>
      </w:pPr>
      <w:r>
        <w:rPr>
          <w:rFonts w:ascii="Times New Roman" w:hAnsi="Times New Roman" w:cs="Times New Roman"/>
          <w:sz w:val="24"/>
          <w:szCs w:val="24"/>
        </w:rPr>
        <w:t>+45 3360 2545</w:t>
      </w:r>
    </w:p>
    <w:p w:rsidR="00851294" w:rsidRDefault="001D00E6" w:rsidP="009B1962">
      <w:pPr>
        <w:suppressAutoHyphens/>
        <w:spacing w:after="0"/>
        <w:ind w:left="720"/>
        <w:rPr>
          <w:rFonts w:ascii="Times New Roman" w:hAnsi="Times New Roman" w:cs="Times New Roman"/>
          <w:sz w:val="24"/>
          <w:szCs w:val="24"/>
        </w:rPr>
      </w:pPr>
      <w:hyperlink r:id="rId5" w:history="1">
        <w:r w:rsidR="00851294" w:rsidRPr="00A77530">
          <w:rPr>
            <w:rStyle w:val="Hyperlink"/>
            <w:rFonts w:ascii="Times New Roman" w:hAnsi="Times New Roman" w:cs="Times New Roman"/>
            <w:sz w:val="24"/>
            <w:szCs w:val="24"/>
          </w:rPr>
          <w:t>www.loligosystems.com</w:t>
        </w:r>
      </w:hyperlink>
      <w:r w:rsidR="00851294">
        <w:rPr>
          <w:rFonts w:ascii="Times New Roman" w:hAnsi="Times New Roman" w:cs="Times New Roman"/>
          <w:sz w:val="24"/>
          <w:szCs w:val="24"/>
        </w:rPr>
        <w:t xml:space="preserve"> </w:t>
      </w:r>
    </w:p>
    <w:p w:rsidR="00566AD3" w:rsidRDefault="00566AD3" w:rsidP="0013312A">
      <w:pPr>
        <w:suppressAutoHyphens/>
        <w:ind w:left="720"/>
        <w:rPr>
          <w:rFonts w:ascii="Times New Roman" w:hAnsi="Times New Roman" w:cs="Times New Roman"/>
          <w:sz w:val="24"/>
          <w:szCs w:val="24"/>
        </w:rPr>
      </w:pPr>
    </w:p>
    <w:p w:rsidR="001A5AEB" w:rsidRDefault="001A5AEB" w:rsidP="0013312A">
      <w:pPr>
        <w:suppressAutoHyphens/>
        <w:ind w:left="720"/>
        <w:rPr>
          <w:rFonts w:ascii="Times New Roman" w:hAnsi="Times New Roman" w:cs="Times New Roman"/>
          <w:sz w:val="24"/>
          <w:szCs w:val="24"/>
        </w:rPr>
      </w:pPr>
      <w:r>
        <w:rPr>
          <w:rFonts w:ascii="Times New Roman" w:hAnsi="Times New Roman" w:cs="Times New Roman"/>
          <w:sz w:val="24"/>
          <w:szCs w:val="24"/>
        </w:rPr>
        <w:t>This is a research instrument for use with ectotherms, other companies do not make a similar product.</w:t>
      </w:r>
    </w:p>
    <w:p w:rsidR="001A5AEB" w:rsidRDefault="001A5AEB"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273F66" w:rsidP="0013312A">
      <w:pPr>
        <w:suppressAutoHyphens/>
        <w:ind w:left="720"/>
        <w:rPr>
          <w:rFonts w:ascii="Times New Roman" w:hAnsi="Times New Roman" w:cs="Times New Roman"/>
          <w:sz w:val="24"/>
          <w:szCs w:val="24"/>
        </w:rPr>
      </w:pPr>
      <w:r>
        <w:rPr>
          <w:rFonts w:ascii="Times New Roman" w:hAnsi="Times New Roman" w:cs="Times New Roman"/>
          <w:sz w:val="24"/>
          <w:szCs w:val="24"/>
        </w:rPr>
        <w:t>Estimated cost is: 41,680 Euros, which is ~ $5</w:t>
      </w:r>
      <w:r w:rsidR="001D76D8">
        <w:rPr>
          <w:rFonts w:ascii="Times New Roman" w:hAnsi="Times New Roman" w:cs="Times New Roman"/>
          <w:sz w:val="24"/>
          <w:szCs w:val="24"/>
        </w:rPr>
        <w:t>0</w:t>
      </w:r>
      <w:r>
        <w:rPr>
          <w:rFonts w:ascii="Times New Roman" w:hAnsi="Times New Roman" w:cs="Times New Roman"/>
          <w:sz w:val="24"/>
          <w:szCs w:val="24"/>
        </w:rPr>
        <w:t>,</w:t>
      </w:r>
      <w:r w:rsidR="001D76D8">
        <w:rPr>
          <w:rFonts w:ascii="Times New Roman" w:hAnsi="Times New Roman" w:cs="Times New Roman"/>
          <w:sz w:val="24"/>
          <w:szCs w:val="24"/>
        </w:rPr>
        <w:t>000</w:t>
      </w:r>
      <w:r>
        <w:rPr>
          <w:rFonts w:ascii="Times New Roman" w:hAnsi="Times New Roman" w:cs="Times New Roman"/>
          <w:sz w:val="24"/>
          <w:szCs w:val="24"/>
        </w:rPr>
        <w:t xml:space="preserve"> USD</w:t>
      </w:r>
      <w:r w:rsidR="00CF7846">
        <w:rPr>
          <w:rFonts w:ascii="Times New Roman" w:hAnsi="Times New Roman" w:cs="Times New Roman"/>
          <w:sz w:val="24"/>
          <w:szCs w:val="24"/>
        </w:rPr>
        <w:t>, and includes estimated shipping costs</w:t>
      </w:r>
    </w:p>
    <w:p w:rsidR="00CF7846" w:rsidRDefault="00FD461F" w:rsidP="0013312A">
      <w:pPr>
        <w:suppressAutoHyphens/>
        <w:ind w:left="720"/>
        <w:rPr>
          <w:rFonts w:ascii="Times New Roman" w:hAnsi="Times New Roman" w:cs="Times New Roman"/>
          <w:sz w:val="24"/>
          <w:szCs w:val="24"/>
        </w:rPr>
      </w:pPr>
      <w:r>
        <w:rPr>
          <w:rFonts w:ascii="Times New Roman" w:hAnsi="Times New Roman" w:cs="Times New Roman"/>
          <w:sz w:val="24"/>
          <w:szCs w:val="24"/>
        </w:rPr>
        <w:t>This is a unique instrument that is for use with ectotherms. Companies such as Radiometer, Inc. used to make blood gas systems for use with ectotherms, but ceased making these systems over 1</w:t>
      </w:r>
      <w:r w:rsidR="002A665A">
        <w:rPr>
          <w:rFonts w:ascii="Times New Roman" w:hAnsi="Times New Roman" w:cs="Times New Roman"/>
          <w:sz w:val="24"/>
          <w:szCs w:val="24"/>
        </w:rPr>
        <w:t>5</w:t>
      </w:r>
      <w:r>
        <w:rPr>
          <w:rFonts w:ascii="Times New Roman" w:hAnsi="Times New Roman" w:cs="Times New Roman"/>
          <w:sz w:val="24"/>
          <w:szCs w:val="24"/>
        </w:rPr>
        <w:t xml:space="preserve"> years ago presumably due to low demand. Blood gas companies such as Radiometer, Inc. manufacture instruments that are designed to measure mammalian blood at 37</w:t>
      </w:r>
      <w:r w:rsidR="00606B23">
        <w:rPr>
          <w:rFonts w:ascii="Times New Roman" w:hAnsi="Times New Roman" w:cs="Times New Roman"/>
          <w:sz w:val="24"/>
          <w:szCs w:val="24"/>
        </w:rPr>
        <w:t>°</w:t>
      </w:r>
      <w:r>
        <w:rPr>
          <w:rFonts w:ascii="Times New Roman" w:hAnsi="Times New Roman" w:cs="Times New Roman"/>
          <w:sz w:val="24"/>
          <w:szCs w:val="24"/>
        </w:rPr>
        <w:t xml:space="preserve">C, and are not accurate for organisms that fall out of this range. </w:t>
      </w:r>
      <w:r w:rsidR="00387052">
        <w:rPr>
          <w:rFonts w:ascii="Times New Roman" w:hAnsi="Times New Roman" w:cs="Times New Roman"/>
          <w:sz w:val="24"/>
          <w:szCs w:val="24"/>
        </w:rPr>
        <w:t xml:space="preserve">There are no other companies that make a similar instrument, presumably due to low demand for research purposes only. </w:t>
      </w:r>
      <w:r w:rsidR="00606B23">
        <w:rPr>
          <w:rFonts w:ascii="Times New Roman" w:hAnsi="Times New Roman" w:cs="Times New Roman"/>
          <w:sz w:val="24"/>
          <w:szCs w:val="24"/>
        </w:rPr>
        <w:t>A USDA AFRI</w:t>
      </w:r>
      <w:r>
        <w:rPr>
          <w:rFonts w:ascii="Times New Roman" w:hAnsi="Times New Roman" w:cs="Times New Roman"/>
          <w:sz w:val="24"/>
          <w:szCs w:val="24"/>
        </w:rPr>
        <w:t xml:space="preserve"> competitive external grant </w:t>
      </w:r>
      <w:r w:rsidR="00606B23">
        <w:rPr>
          <w:rFonts w:ascii="Times New Roman" w:hAnsi="Times New Roman" w:cs="Times New Roman"/>
          <w:sz w:val="24"/>
          <w:szCs w:val="24"/>
        </w:rPr>
        <w:t xml:space="preserve">has been awarded </w:t>
      </w:r>
      <w:r>
        <w:rPr>
          <w:rFonts w:ascii="Times New Roman" w:hAnsi="Times New Roman" w:cs="Times New Roman"/>
          <w:sz w:val="24"/>
          <w:szCs w:val="24"/>
        </w:rPr>
        <w:t>to cover the costs of this instrument.</w:t>
      </w:r>
    </w:p>
    <w:p w:rsidR="00DA5C58" w:rsidRDefault="00DA5C58" w:rsidP="0013312A">
      <w:pPr>
        <w:suppressAutoHyphens/>
        <w:ind w:left="720"/>
        <w:rPr>
          <w:rFonts w:ascii="Times New Roman" w:hAnsi="Times New Roman" w:cs="Times New Roman"/>
          <w:sz w:val="24"/>
          <w:szCs w:val="24"/>
        </w:rPr>
      </w:pPr>
    </w:p>
    <w:p w:rsidR="001A7BA2" w:rsidRDefault="001A7BA2"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E50951" w:rsidRPr="0013312A" w:rsidRDefault="00E50951"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A number of companies have been contacted to determine if they sell similar equipment (Radiometer, </w:t>
      </w:r>
      <w:r w:rsidR="006C708C">
        <w:rPr>
          <w:rFonts w:ascii="Times New Roman" w:hAnsi="Times New Roman" w:cs="Times New Roman"/>
          <w:sz w:val="24"/>
          <w:szCs w:val="24"/>
        </w:rPr>
        <w:t xml:space="preserve">Abaxis </w:t>
      </w:r>
      <w:r>
        <w:rPr>
          <w:rFonts w:ascii="Times New Roman" w:hAnsi="Times New Roman" w:cs="Times New Roman"/>
          <w:sz w:val="24"/>
          <w:szCs w:val="24"/>
        </w:rPr>
        <w:t>Vetscan, etc.). These companies don’t offer similar systems. Several companies manufacture medical blood gas measurement systems for use with humans</w:t>
      </w:r>
      <w:r w:rsidR="00F43DAB">
        <w:rPr>
          <w:rFonts w:ascii="Times New Roman" w:hAnsi="Times New Roman" w:cs="Times New Roman"/>
          <w:sz w:val="24"/>
          <w:szCs w:val="24"/>
        </w:rPr>
        <w:t xml:space="preserve"> or in veterinary applications</w:t>
      </w:r>
      <w:r>
        <w:rPr>
          <w:rFonts w:ascii="Times New Roman" w:hAnsi="Times New Roman" w:cs="Times New Roman"/>
          <w:sz w:val="24"/>
          <w:szCs w:val="24"/>
        </w:rPr>
        <w:t>, but these simply aren’t accurate for ectotherms and lack the sophistication and versatility of gas mixing, pH manipulation, associated software and overall research-grade quality of the instrument being requested for purchase. One company</w:t>
      </w:r>
      <w:r w:rsidR="00357887">
        <w:rPr>
          <w:rFonts w:ascii="Times New Roman" w:hAnsi="Times New Roman" w:cs="Times New Roman"/>
          <w:sz w:val="24"/>
          <w:szCs w:val="24"/>
        </w:rPr>
        <w:t xml:space="preserve"> (Abaxis, Inc.)</w:t>
      </w:r>
      <w:r>
        <w:rPr>
          <w:rFonts w:ascii="Times New Roman" w:hAnsi="Times New Roman" w:cs="Times New Roman"/>
          <w:sz w:val="24"/>
          <w:szCs w:val="24"/>
        </w:rPr>
        <w:t xml:space="preserve"> offers a limited system, but it is highly inaccurate</w:t>
      </w:r>
      <w:r w:rsidR="00357887">
        <w:rPr>
          <w:rFonts w:ascii="Times New Roman" w:hAnsi="Times New Roman" w:cs="Times New Roman"/>
          <w:sz w:val="24"/>
          <w:szCs w:val="24"/>
        </w:rPr>
        <w:t xml:space="preserve"> for ectotherms</w:t>
      </w:r>
      <w:r>
        <w:rPr>
          <w:rFonts w:ascii="Times New Roman" w:hAnsi="Times New Roman" w:cs="Times New Roman"/>
          <w:sz w:val="24"/>
          <w:szCs w:val="24"/>
        </w:rPr>
        <w:t xml:space="preserve"> (Harter et al. 2014; Harter et al. 2015). As noted above, Loligo Systems, Inc. is the only company to offer a complete blood gas system for use with ectotherms</w:t>
      </w:r>
      <w:r w:rsidR="00B57663">
        <w:rPr>
          <w:rFonts w:ascii="Times New Roman" w:hAnsi="Times New Roman" w:cs="Times New Roman"/>
          <w:sz w:val="24"/>
          <w:szCs w:val="24"/>
        </w:rPr>
        <w:t>, and it is far superior to other products that measure a portion of what their system measures</w:t>
      </w:r>
      <w:r>
        <w:rPr>
          <w:rFonts w:ascii="Times New Roman" w:hAnsi="Times New Roman" w:cs="Times New Roman"/>
          <w:sz w:val="24"/>
          <w:szCs w:val="24"/>
        </w:rPr>
        <w:t xml:space="preserve">. </w:t>
      </w:r>
    </w:p>
    <w:p w:rsidR="00E50951" w:rsidRPr="00E50951" w:rsidRDefault="00E50951" w:rsidP="00E50951">
      <w:pPr>
        <w:suppressAutoHyphens/>
        <w:ind w:left="720"/>
        <w:jc w:val="both"/>
        <w:rPr>
          <w:rFonts w:ascii="Times New Roman" w:hAnsi="Times New Roman" w:cs="Times New Roman"/>
          <w:sz w:val="24"/>
          <w:szCs w:val="24"/>
        </w:rPr>
      </w:pPr>
      <w:r w:rsidRPr="00E50951">
        <w:rPr>
          <w:rFonts w:ascii="Times New Roman" w:hAnsi="Times New Roman" w:cs="Times New Roman"/>
          <w:sz w:val="24"/>
          <w:szCs w:val="24"/>
        </w:rPr>
        <w:t>Harter, T. S., et al. 2015. Validation of the i-STAT system for the analysis of blood gases and acid-base status in juvenile sandbar shark. Conservation Physiology 3(1): DOI:10.1093/conphys/cov002</w:t>
      </w:r>
    </w:p>
    <w:p w:rsidR="00E50951" w:rsidRPr="00E50951" w:rsidRDefault="00E50951" w:rsidP="00E50951">
      <w:pPr>
        <w:suppressAutoHyphens/>
        <w:ind w:left="720"/>
        <w:jc w:val="both"/>
        <w:rPr>
          <w:rFonts w:ascii="Times New Roman" w:hAnsi="Times New Roman" w:cs="Times New Roman"/>
          <w:sz w:val="24"/>
          <w:szCs w:val="24"/>
        </w:rPr>
      </w:pPr>
      <w:r w:rsidRPr="00E50951">
        <w:rPr>
          <w:rFonts w:ascii="Times New Roman" w:hAnsi="Times New Roman" w:cs="Times New Roman"/>
          <w:sz w:val="24"/>
          <w:szCs w:val="24"/>
        </w:rPr>
        <w:t>Harter, T. S., et al. 2014. Validation of the i-STAT system for the analysis of blood parameters in fish. Conservation Physiology 2(1): DOI: 10.1093/conphys/cou037</w:t>
      </w: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6"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50EA7"/>
    <w:rsid w:val="00053B5B"/>
    <w:rsid w:val="0013312A"/>
    <w:rsid w:val="001653AC"/>
    <w:rsid w:val="00187E21"/>
    <w:rsid w:val="001A5AEB"/>
    <w:rsid w:val="001A7BA2"/>
    <w:rsid w:val="001C661F"/>
    <w:rsid w:val="001D00E6"/>
    <w:rsid w:val="001D76D8"/>
    <w:rsid w:val="002352C0"/>
    <w:rsid w:val="00262A9F"/>
    <w:rsid w:val="00273F66"/>
    <w:rsid w:val="002A665A"/>
    <w:rsid w:val="00357887"/>
    <w:rsid w:val="00387052"/>
    <w:rsid w:val="003E3193"/>
    <w:rsid w:val="00505A01"/>
    <w:rsid w:val="005156B7"/>
    <w:rsid w:val="00566AD3"/>
    <w:rsid w:val="00606B23"/>
    <w:rsid w:val="006C708C"/>
    <w:rsid w:val="007A600F"/>
    <w:rsid w:val="00851294"/>
    <w:rsid w:val="00871DB3"/>
    <w:rsid w:val="009A1587"/>
    <w:rsid w:val="009B1962"/>
    <w:rsid w:val="009C7054"/>
    <w:rsid w:val="00A526EC"/>
    <w:rsid w:val="00A94737"/>
    <w:rsid w:val="00AF183C"/>
    <w:rsid w:val="00B43762"/>
    <w:rsid w:val="00B45011"/>
    <w:rsid w:val="00B57663"/>
    <w:rsid w:val="00B6504F"/>
    <w:rsid w:val="00B711B8"/>
    <w:rsid w:val="00B83A0D"/>
    <w:rsid w:val="00C22A15"/>
    <w:rsid w:val="00C535F9"/>
    <w:rsid w:val="00C90186"/>
    <w:rsid w:val="00CF7846"/>
    <w:rsid w:val="00D60E41"/>
    <w:rsid w:val="00DA5C58"/>
    <w:rsid w:val="00E31CC3"/>
    <w:rsid w:val="00E341B8"/>
    <w:rsid w:val="00E50951"/>
    <w:rsid w:val="00F422D4"/>
    <w:rsid w:val="00F43DAB"/>
    <w:rsid w:val="00FD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B038"/>
  <w15:docId w15:val="{79DEDFF1-FAA2-4FCE-AA37-2354DAC6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ffum@procurement.msstate.edu" TargetMode="External"/><Relationship Id="rId5" Type="http://schemas.openxmlformats.org/officeDocument/2006/relationships/hyperlink" Target="http://www.loligo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Buffum</dc:creator>
  <cp:lastModifiedBy>Raines, Marie</cp:lastModifiedBy>
  <cp:revision>3</cp:revision>
  <cp:lastPrinted>2015-07-22T20:58:00Z</cp:lastPrinted>
  <dcterms:created xsi:type="dcterms:W3CDTF">2018-05-01T14:20:00Z</dcterms:created>
  <dcterms:modified xsi:type="dcterms:W3CDTF">2018-05-01T14:22:00Z</dcterms:modified>
</cp:coreProperties>
</file>