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69CB89A4" w:rsidR="002D2B69" w:rsidRPr="000C58CD" w:rsidRDefault="002D2B69" w:rsidP="002D2B69">
      <w:pPr>
        <w:rPr>
          <w:b/>
        </w:rPr>
      </w:pPr>
      <w:r w:rsidRPr="000C58CD">
        <w:rPr>
          <w:b/>
        </w:rPr>
        <w:t xml:space="preserve">Date: </w:t>
      </w:r>
      <w:r w:rsidRPr="000C58CD">
        <w:rPr>
          <w:b/>
        </w:rPr>
        <w:tab/>
      </w:r>
      <w:r w:rsidR="004266B8">
        <w:t>March 17, 2023</w:t>
      </w:r>
    </w:p>
    <w:p w14:paraId="24610532" w14:textId="77777777" w:rsidR="002D2B69" w:rsidRDefault="002D2B69" w:rsidP="002D2B69"/>
    <w:p w14:paraId="60033831" w14:textId="5E8A4CD0" w:rsidR="002D2B69" w:rsidRDefault="002D2B69" w:rsidP="00213291">
      <w:pPr>
        <w:ind w:left="720" w:hanging="720"/>
      </w:pPr>
      <w:r w:rsidRPr="000C58CD">
        <w:rPr>
          <w:b/>
        </w:rPr>
        <w:t>Re:</w:t>
      </w:r>
      <w:r>
        <w:t xml:space="preserve"> </w:t>
      </w:r>
      <w:r>
        <w:tab/>
        <w:t xml:space="preserve">Sole Source Certification Number </w:t>
      </w:r>
      <w:r w:rsidR="0009441A">
        <w:rPr>
          <w:b/>
        </w:rPr>
        <w:t>SS5</w:t>
      </w:r>
      <w:r w:rsidR="004266B8">
        <w:rPr>
          <w:b/>
        </w:rPr>
        <w:t>745</w:t>
      </w:r>
      <w:r w:rsidR="00CF6A77">
        <w:rPr>
          <w:b/>
          <w:color w:val="FF0000"/>
        </w:rPr>
        <w:t xml:space="preserve"> </w:t>
      </w:r>
      <w:r>
        <w:t>for</w:t>
      </w:r>
      <w:r w:rsidR="0009441A">
        <w:rPr>
          <w:b/>
        </w:rPr>
        <w:t xml:space="preserve"> </w:t>
      </w:r>
      <w:r w:rsidR="00F145D8">
        <w:rPr>
          <w:b/>
        </w:rPr>
        <w:t>M</w:t>
      </w:r>
      <w:r w:rsidR="004266B8">
        <w:rPr>
          <w:b/>
        </w:rPr>
        <w:t>odules and related accessories</w:t>
      </w:r>
    </w:p>
    <w:p w14:paraId="3926ED79" w14:textId="77777777" w:rsidR="008C04DA" w:rsidRDefault="008C04DA" w:rsidP="00213291">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0A1CADF6" w:rsidR="002D2B69" w:rsidRDefault="002D2B69" w:rsidP="0001425C">
      <w:pPr>
        <w:jc w:val="both"/>
      </w:pPr>
      <w:r>
        <w:t xml:space="preserve">Regarding UMMC Sole Source Certification Number </w:t>
      </w:r>
      <w:r w:rsidR="0009441A">
        <w:rPr>
          <w:b/>
        </w:rPr>
        <w:t>SS</w:t>
      </w:r>
      <w:r w:rsidR="004266B8">
        <w:rPr>
          <w:b/>
        </w:rPr>
        <w:t>5745</w:t>
      </w:r>
      <w:r w:rsidR="002D2405" w:rsidRPr="000E2ADE">
        <w:rPr>
          <w:color w:val="FF0000"/>
        </w:rPr>
        <w:t xml:space="preserve"> </w:t>
      </w:r>
      <w:r w:rsidR="009415BF">
        <w:t>for</w:t>
      </w:r>
      <w:r w:rsidR="007D34FC">
        <w:t xml:space="preserve"> </w:t>
      </w:r>
      <w:r w:rsidR="004266B8">
        <w:rPr>
          <w:rFonts w:eastAsia="Calibri"/>
        </w:rPr>
        <w:t>Modules and related accessories</w:t>
      </w:r>
      <w:r w:rsidRPr="004A46C1">
        <w:t>, please be advised that UMMC intends to award the purchase to</w:t>
      </w:r>
      <w:r w:rsidR="007C05E5">
        <w:t xml:space="preserve"> </w:t>
      </w:r>
      <w:r w:rsidR="00433797">
        <w:t>Oroboros Instruments</w:t>
      </w:r>
      <w:r w:rsidRPr="004A46C1">
        <w:t xml:space="preserve"> as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F497B17" w:rsidR="002D2B69" w:rsidRPr="00AD1310" w:rsidRDefault="00876FB0" w:rsidP="006F31B1">
            <w:r>
              <w:t>June 6</w:t>
            </w:r>
            <w:r w:rsidR="004266B8">
              <w:t>, 2023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1653199" w:rsidR="002D2B69" w:rsidRPr="00AD1310" w:rsidRDefault="00876FB0" w:rsidP="00B80ED2">
            <w:r>
              <w:t>June 13</w:t>
            </w:r>
            <w:r w:rsidR="004266B8">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AD1A881" w:rsidR="002D2B69" w:rsidRPr="00AD1310" w:rsidRDefault="00876FB0" w:rsidP="00EB78E2">
            <w:r>
              <w:t>June 20</w:t>
            </w:r>
            <w:r w:rsidR="004266B8">
              <w:t>, 2023</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8411F10" w:rsidR="002D2B69" w:rsidRPr="00AD1310" w:rsidRDefault="002D2B69" w:rsidP="007D34FC">
            <w:r w:rsidRPr="00AD1310">
              <w:t xml:space="preserve">Not before </w:t>
            </w:r>
            <w:r w:rsidR="00876FB0">
              <w:t>June 27</w:t>
            </w:r>
            <w:r w:rsidR="004266B8">
              <w:t>, 2023</w:t>
            </w:r>
          </w:p>
        </w:tc>
      </w:tr>
    </w:tbl>
    <w:p w14:paraId="57139940" w14:textId="77777777" w:rsidR="002D2B69" w:rsidRDefault="002D2B69" w:rsidP="002D2B69"/>
    <w:p w14:paraId="1938FE67" w14:textId="08117068" w:rsidR="00D71440" w:rsidRDefault="00D71440" w:rsidP="002D2B69">
      <w:pPr>
        <w:rPr>
          <w:b/>
        </w:rPr>
      </w:pPr>
    </w:p>
    <w:p w14:paraId="201203E6" w14:textId="77777777" w:rsidR="007D34FC" w:rsidRDefault="007D34FC" w:rsidP="002D2B69">
      <w:pPr>
        <w:rPr>
          <w:b/>
        </w:rPr>
      </w:pPr>
    </w:p>
    <w:p w14:paraId="556348DA" w14:textId="77777777" w:rsidR="002D2B69" w:rsidRDefault="002D2B69" w:rsidP="002D2B69"/>
    <w:p w14:paraId="33805216" w14:textId="78976B57" w:rsidR="00DC566D" w:rsidRDefault="00DC566D" w:rsidP="00DC566D">
      <w:pPr>
        <w:pStyle w:val="ListParagraph"/>
        <w:numPr>
          <w:ilvl w:val="0"/>
          <w:numId w:val="5"/>
        </w:numPr>
        <w:rPr>
          <w:b/>
        </w:rPr>
      </w:pPr>
      <w:r w:rsidRPr="00EB37F3">
        <w:rPr>
          <w:b/>
        </w:rPr>
        <w:t xml:space="preserve">Describe the commodity that the agency is seeking to procure: </w:t>
      </w:r>
    </w:p>
    <w:p w14:paraId="63FDE356" w14:textId="77777777" w:rsidR="006B07FE" w:rsidRDefault="006B07FE" w:rsidP="006B07FE">
      <w:pPr>
        <w:pStyle w:val="ListParagraph"/>
        <w:rPr>
          <w:b/>
        </w:rPr>
      </w:pPr>
    </w:p>
    <w:p w14:paraId="6BEDE03B" w14:textId="23263DFE" w:rsidR="001E3E52" w:rsidRDefault="00DC566D" w:rsidP="001E3E52">
      <w:pPr>
        <w:ind w:left="720"/>
      </w:pPr>
      <w:r w:rsidRPr="00DB4100">
        <w:t>The University of Mississippi Medical Center (UMMC)</w:t>
      </w:r>
      <w:r w:rsidR="004266B8">
        <w:t xml:space="preserve"> is seeking to purchase Oroboros O2K modules and the related accessories to be used for </w:t>
      </w:r>
      <w:r w:rsidR="009A11DF">
        <w:t>mitochondria</w:t>
      </w:r>
      <w:r w:rsidR="00433797">
        <w:t xml:space="preserve"> and cell research.  This device will perform with a high resolution respirometry with reduced amounts of biological sample and all components necessary for smaller operation volume.</w:t>
      </w:r>
      <w:r w:rsidR="007D34FC">
        <w:t xml:space="preserve">  </w:t>
      </w:r>
    </w:p>
    <w:p w14:paraId="58EFD140" w14:textId="5EF8053D" w:rsidR="00377421" w:rsidRDefault="00377421" w:rsidP="00377421">
      <w:pPr>
        <w:pStyle w:val="ListParagraph"/>
        <w:rPr>
          <w:i/>
        </w:rPr>
      </w:pPr>
    </w:p>
    <w:p w14:paraId="4B9D6BA0"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184EF046" w14:textId="5727B995" w:rsidR="00377421" w:rsidRDefault="00377421" w:rsidP="00377421">
      <w:pPr>
        <w:ind w:left="360"/>
        <w:rPr>
          <w:i/>
        </w:rPr>
      </w:pPr>
    </w:p>
    <w:p w14:paraId="1A00D3D0" w14:textId="620D74B2" w:rsidR="00BB58D7" w:rsidRDefault="008A7099" w:rsidP="00377421">
      <w:pPr>
        <w:pStyle w:val="ListParagraph"/>
      </w:pPr>
      <w:r>
        <w:t>UMMC</w:t>
      </w:r>
      <w:r w:rsidR="00C8233D">
        <w:t xml:space="preserve"> currently owns </w:t>
      </w:r>
      <w:r w:rsidR="004266B8">
        <w:t xml:space="preserve">Oroboros </w:t>
      </w:r>
      <w:r w:rsidR="00433797">
        <w:t>m</w:t>
      </w:r>
      <w:r w:rsidR="004266B8">
        <w:t>odules and related accessories</w:t>
      </w:r>
      <w:r w:rsidR="00433797">
        <w:t xml:space="preserve"> as well as O2K FluoRespirometers</w:t>
      </w:r>
      <w:r w:rsidR="00C8233D">
        <w:t xml:space="preserve"> from </w:t>
      </w:r>
      <w:r w:rsidR="00433797">
        <w:t>Oroboros</w:t>
      </w:r>
      <w:r w:rsidR="00C8233D">
        <w:t xml:space="preserve"> that are used in research now. </w:t>
      </w:r>
      <w:r w:rsidR="007837AA">
        <w:t>These modules are only comp</w:t>
      </w:r>
      <w:r w:rsidR="009A11DF">
        <w:t>atible with the existing equipment.</w:t>
      </w:r>
      <w:r w:rsidR="00C8233D">
        <w:t xml:space="preserve"> This will be additional equipment based on ongoing research needs</w:t>
      </w:r>
      <w:r w:rsidR="00433797">
        <w:t xml:space="preserve"> to continue to perform state-of-the-art, comprehensive measurements of </w:t>
      </w:r>
      <w:r w:rsidR="009A11DF">
        <w:t>mitochondrial</w:t>
      </w:r>
      <w:r w:rsidR="00433797">
        <w:t xml:space="preserve"> function as part of the internal and collaborative research efforts of the Department of Cell and Molecular Biology and the Dep</w:t>
      </w:r>
      <w:r w:rsidR="009A11DF">
        <w:t>artment</w:t>
      </w:r>
      <w:r w:rsidR="00433797">
        <w:t xml:space="preserve"> of Physiology at UMMC</w:t>
      </w:r>
      <w:r w:rsidR="00C8233D">
        <w:t>.</w:t>
      </w:r>
    </w:p>
    <w:p w14:paraId="7790D95D" w14:textId="77777777" w:rsidR="001E3E52" w:rsidRDefault="001E3E52" w:rsidP="00377421">
      <w:pPr>
        <w:pStyle w:val="ListParagraph"/>
      </w:pPr>
    </w:p>
    <w:p w14:paraId="53807823" w14:textId="51FA402E"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087D1841" w14:textId="77777777" w:rsidR="00DB4100" w:rsidRPr="00EB37F3" w:rsidRDefault="00DB4100" w:rsidP="00DB4100">
      <w:pPr>
        <w:pStyle w:val="PlainText"/>
        <w:ind w:left="720"/>
        <w:jc w:val="both"/>
        <w:rPr>
          <w:rFonts w:ascii="Times New Roman" w:hAnsi="Times New Roman" w:cs="Times New Roman"/>
          <w:b/>
          <w:sz w:val="24"/>
          <w:szCs w:val="24"/>
        </w:rPr>
      </w:pPr>
    </w:p>
    <w:p w14:paraId="4660B65C" w14:textId="07879003" w:rsidR="00DC566D" w:rsidRPr="006B61DB" w:rsidRDefault="009A11DF" w:rsidP="006E18BB">
      <w:pPr>
        <w:pStyle w:val="ListParagraph"/>
      </w:pPr>
      <w:r>
        <w:t>Oroboros Instruments</w:t>
      </w:r>
      <w:r w:rsidR="00C8233D">
        <w:t xml:space="preserve"> is the sole manufacturer and supplier of this </w:t>
      </w:r>
      <w:r w:rsidR="004266B8">
        <w:t xml:space="preserve">Oroboros </w:t>
      </w:r>
      <w:r>
        <w:t>m</w:t>
      </w:r>
      <w:r w:rsidR="004266B8">
        <w:t>odules and related accessories</w:t>
      </w:r>
      <w:r w:rsidR="00C8233D">
        <w:t>.  They are not available from any other distributor.  See supporting le</w:t>
      </w:r>
      <w:r w:rsidR="00DE2C2E">
        <w:t xml:space="preserve">tter from </w:t>
      </w:r>
      <w:r w:rsidR="00433797">
        <w:t>Oroboros Instruments</w:t>
      </w:r>
      <w:r w:rsidR="00DE2C2E">
        <w:t>, Attachment A.</w:t>
      </w:r>
    </w:p>
    <w:p w14:paraId="1033EF57" w14:textId="77777777" w:rsidR="00DC566D" w:rsidRDefault="00DC566D" w:rsidP="00DC566D">
      <w:pPr>
        <w:pStyle w:val="ListParagraph"/>
        <w:rPr>
          <w:b/>
        </w:rPr>
      </w:pPr>
    </w:p>
    <w:p w14:paraId="33719182" w14:textId="08D69CAA"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C44E1DA" w14:textId="77777777" w:rsidR="00DB4100" w:rsidRPr="00EB37F3" w:rsidRDefault="00DB4100" w:rsidP="00DB4100">
      <w:pPr>
        <w:pStyle w:val="ListParagraph"/>
        <w:rPr>
          <w:b/>
        </w:rPr>
      </w:pPr>
    </w:p>
    <w:p w14:paraId="284F2DE6" w14:textId="3AC72CB4"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4266B8">
        <w:rPr>
          <w:rFonts w:ascii="Times New Roman" w:hAnsi="Times New Roman" w:cs="Times New Roman"/>
          <w:sz w:val="24"/>
          <w:szCs w:val="24"/>
        </w:rPr>
        <w:t>Oroboros Modules and related accessories</w:t>
      </w:r>
      <w:r w:rsidR="006E18BB" w:rsidRPr="006E18BB">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433797">
        <w:rPr>
          <w:rFonts w:ascii="Times New Roman" w:hAnsi="Times New Roman" w:cs="Times New Roman"/>
          <w:bCs/>
          <w:sz w:val="24"/>
          <w:szCs w:val="24"/>
        </w:rPr>
        <w:t>20,000.00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DCEEB5A"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627B71C" w14:textId="77777777" w:rsidR="00DB4100" w:rsidRDefault="00DB4100" w:rsidP="00DB4100">
      <w:pPr>
        <w:pStyle w:val="ListParagraph"/>
        <w:rPr>
          <w:rFonts w:eastAsia="Calibri"/>
          <w:b/>
        </w:rPr>
      </w:pPr>
    </w:p>
    <w:p w14:paraId="48978D1A" w14:textId="75D48101" w:rsidR="00DC566D" w:rsidRDefault="00024A56" w:rsidP="00DC566D">
      <w:pPr>
        <w:pStyle w:val="ListParagraph"/>
        <w:jc w:val="both"/>
      </w:pPr>
      <w:r>
        <w:rPr>
          <w:rFonts w:eastAsia="Calibri"/>
        </w:rPr>
        <w:t>Pricing is compared against available market intelligence and identified discounts are pursued where applicable.</w:t>
      </w:r>
    </w:p>
    <w:p w14:paraId="3605EA25" w14:textId="1BF46389" w:rsidR="00DB4100" w:rsidRDefault="00DB4100" w:rsidP="00DC566D">
      <w:pPr>
        <w:pStyle w:val="ListParagraph"/>
        <w:jc w:val="both"/>
      </w:pPr>
    </w:p>
    <w:p w14:paraId="099B4D4C" w14:textId="17026C63" w:rsidR="00DB4100" w:rsidRDefault="00DB4100" w:rsidP="00DC566D">
      <w:pPr>
        <w:pStyle w:val="ListParagraph"/>
        <w:jc w:val="both"/>
      </w:pPr>
    </w:p>
    <w:p w14:paraId="5304DF97" w14:textId="7D028496" w:rsidR="00377421" w:rsidRDefault="00377421" w:rsidP="00DC566D">
      <w:pPr>
        <w:pStyle w:val="ListParagraph"/>
        <w:jc w:val="both"/>
      </w:pPr>
    </w:p>
    <w:p w14:paraId="64A55B70" w14:textId="36B1B5B9" w:rsidR="00377421" w:rsidRDefault="00377421" w:rsidP="00DC566D">
      <w:pPr>
        <w:pStyle w:val="ListParagraph"/>
        <w:jc w:val="both"/>
      </w:pPr>
    </w:p>
    <w:p w14:paraId="5A955279" w14:textId="2D89C4C0" w:rsidR="00377421" w:rsidRDefault="00377421" w:rsidP="00DC566D">
      <w:pPr>
        <w:pStyle w:val="ListParagraph"/>
        <w:jc w:val="both"/>
      </w:pPr>
    </w:p>
    <w:p w14:paraId="194DB698" w14:textId="5562AB93" w:rsidR="00377421" w:rsidRDefault="00377421" w:rsidP="00DC566D">
      <w:pPr>
        <w:pStyle w:val="ListParagraph"/>
        <w:jc w:val="both"/>
      </w:pPr>
    </w:p>
    <w:p w14:paraId="455D15BF" w14:textId="1F181715" w:rsidR="00377421" w:rsidRDefault="00377421" w:rsidP="00DC566D">
      <w:pPr>
        <w:pStyle w:val="ListParagraph"/>
        <w:jc w:val="both"/>
      </w:pPr>
    </w:p>
    <w:p w14:paraId="7A3A3A2C" w14:textId="26D69702" w:rsidR="00377421" w:rsidRDefault="00377421" w:rsidP="00DC566D">
      <w:pPr>
        <w:pStyle w:val="ListParagraph"/>
        <w:jc w:val="both"/>
      </w:pPr>
    </w:p>
    <w:p w14:paraId="116BE64B" w14:textId="736E986B" w:rsidR="00377421" w:rsidRDefault="00377421" w:rsidP="00DC566D">
      <w:pPr>
        <w:pStyle w:val="ListParagraph"/>
        <w:jc w:val="both"/>
      </w:pPr>
    </w:p>
    <w:p w14:paraId="74DA4484" w14:textId="748381B2" w:rsidR="00377421" w:rsidRDefault="00377421" w:rsidP="00DC566D">
      <w:pPr>
        <w:pStyle w:val="ListParagraph"/>
        <w:jc w:val="both"/>
      </w:pPr>
    </w:p>
    <w:p w14:paraId="741392B4" w14:textId="5BB49E9F" w:rsidR="00377421" w:rsidRDefault="00377421" w:rsidP="00DC566D">
      <w:pPr>
        <w:pStyle w:val="ListParagraph"/>
        <w:jc w:val="both"/>
      </w:pPr>
    </w:p>
    <w:p w14:paraId="3B362E93" w14:textId="76448B29" w:rsidR="00377421" w:rsidRDefault="00377421" w:rsidP="00DC566D">
      <w:pPr>
        <w:pStyle w:val="ListParagraph"/>
        <w:jc w:val="both"/>
      </w:pPr>
    </w:p>
    <w:p w14:paraId="3E9BACDD" w14:textId="7543759F" w:rsidR="007D34FC" w:rsidRDefault="007D34FC" w:rsidP="00DC566D">
      <w:pPr>
        <w:pStyle w:val="ListParagraph"/>
        <w:jc w:val="both"/>
      </w:pPr>
    </w:p>
    <w:p w14:paraId="38043EB6" w14:textId="77777777" w:rsidR="007D34FC" w:rsidRDefault="007D34FC" w:rsidP="00DC566D">
      <w:pPr>
        <w:pStyle w:val="ListParagraph"/>
        <w:jc w:val="both"/>
      </w:pPr>
    </w:p>
    <w:p w14:paraId="4384E757" w14:textId="77777777" w:rsidR="00213291" w:rsidRDefault="00213291" w:rsidP="00DC566D">
      <w:pPr>
        <w:pStyle w:val="ListParagraph"/>
        <w:jc w:val="both"/>
      </w:pPr>
    </w:p>
    <w:p w14:paraId="13CC1829" w14:textId="3B01C480" w:rsidR="00DB4100" w:rsidRDefault="00DB4100" w:rsidP="006E18BB">
      <w:pPr>
        <w:jc w:val="both"/>
      </w:pPr>
    </w:p>
    <w:p w14:paraId="151F91A8" w14:textId="65288A38" w:rsidR="002D2B69" w:rsidRPr="00DC3864" w:rsidRDefault="00BB58D7" w:rsidP="002D2B69">
      <w:pPr>
        <w:rPr>
          <w:b/>
        </w:rPr>
      </w:pPr>
      <w:r>
        <w:rPr>
          <w:b/>
        </w:rPr>
        <w:t>S</w:t>
      </w:r>
      <w:r w:rsidR="002D2B69" w:rsidRPr="00DC3864">
        <w:rPr>
          <w:b/>
        </w:rPr>
        <w:t>ubmission Instructions and Format of Response from Objecting Parties</w:t>
      </w:r>
    </w:p>
    <w:p w14:paraId="772384E3" w14:textId="77777777" w:rsidR="002D2B69" w:rsidRDefault="002D2B69" w:rsidP="002D2B69"/>
    <w:p w14:paraId="28ADF4C6" w14:textId="2E68FAAC"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4266B8">
        <w:rPr>
          <w:rFonts w:ascii="Times New Roman" w:eastAsia="Calibri" w:hAnsi="Times New Roman" w:cs="Times New Roman"/>
          <w:sz w:val="24"/>
          <w:szCs w:val="24"/>
        </w:rPr>
        <w:t xml:space="preserve">Oroboros </w:t>
      </w:r>
      <w:r w:rsidR="001041C5">
        <w:rPr>
          <w:rFonts w:ascii="Times New Roman" w:eastAsia="Calibri" w:hAnsi="Times New Roman" w:cs="Times New Roman"/>
          <w:sz w:val="24"/>
          <w:szCs w:val="24"/>
        </w:rPr>
        <w:t>m</w:t>
      </w:r>
      <w:r w:rsidR="004266B8">
        <w:rPr>
          <w:rFonts w:ascii="Times New Roman" w:eastAsia="Calibri" w:hAnsi="Times New Roman" w:cs="Times New Roman"/>
          <w:sz w:val="24"/>
          <w:szCs w:val="24"/>
        </w:rPr>
        <w:t>odules and related accessories</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433797">
        <w:rPr>
          <w:rFonts w:ascii="Times New Roman" w:hAnsi="Times New Roman" w:cs="Times New Roman"/>
          <w:sz w:val="24"/>
          <w:szCs w:val="24"/>
        </w:rPr>
        <w:t>Oroboros Instruments</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7F80EA9" w:rsidR="002D2B69" w:rsidRDefault="002D2B69" w:rsidP="00DC566D">
      <w:r>
        <w:t xml:space="preserve">Comments will be accepted at any time prior to </w:t>
      </w:r>
      <w:r w:rsidR="00876FB0">
        <w:t>June 27</w:t>
      </w:r>
      <w:r w:rsidR="001041C5">
        <w:t>, 2023</w:t>
      </w:r>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352DD052" w:rsidR="00E155BA" w:rsidRDefault="00E155BA" w:rsidP="00580E0D">
      <w:pPr>
        <w:jc w:val="center"/>
        <w:rPr>
          <w:sz w:val="28"/>
        </w:rPr>
      </w:pPr>
    </w:p>
    <w:p w14:paraId="399DA40B" w14:textId="61E7F08B" w:rsidR="00BB58D7" w:rsidRDefault="00BB58D7" w:rsidP="00580E0D">
      <w:pPr>
        <w:jc w:val="center"/>
        <w:rPr>
          <w:sz w:val="28"/>
        </w:rPr>
      </w:pPr>
    </w:p>
    <w:p w14:paraId="1A03F5CA" w14:textId="24F91270" w:rsidR="007D34FC" w:rsidRDefault="007D34FC" w:rsidP="00580E0D">
      <w:pPr>
        <w:jc w:val="center"/>
        <w:rPr>
          <w:sz w:val="28"/>
        </w:rPr>
      </w:pPr>
    </w:p>
    <w:p w14:paraId="0245142E" w14:textId="77777777" w:rsidR="007D34FC" w:rsidRDefault="007D34FC" w:rsidP="00580E0D">
      <w:pPr>
        <w:jc w:val="center"/>
        <w:rPr>
          <w:sz w:val="28"/>
        </w:rPr>
      </w:pPr>
    </w:p>
    <w:p w14:paraId="4490A672" w14:textId="77777777" w:rsidR="00E155BA" w:rsidRDefault="00E155BA" w:rsidP="00580E0D">
      <w:pPr>
        <w:jc w:val="center"/>
        <w:rPr>
          <w:sz w:val="28"/>
        </w:rPr>
      </w:pPr>
    </w:p>
    <w:p w14:paraId="57E63547" w14:textId="61E347B9" w:rsidR="00E155BA" w:rsidRDefault="00E155BA" w:rsidP="00D71440">
      <w:pPr>
        <w:rPr>
          <w:sz w:val="28"/>
        </w:rPr>
      </w:pPr>
    </w:p>
    <w:p w14:paraId="7535FAC5" w14:textId="0E6CEF26" w:rsidR="00E155BA" w:rsidRDefault="00D71440" w:rsidP="00D71440">
      <w:pPr>
        <w:jc w:val="center"/>
        <w:rPr>
          <w:sz w:val="28"/>
        </w:rPr>
      </w:pPr>
      <w:r>
        <w:rPr>
          <w:sz w:val="28"/>
        </w:rPr>
        <w:t>A</w:t>
      </w:r>
      <w:r w:rsidR="00E155BA">
        <w:rPr>
          <w:sz w:val="28"/>
        </w:rPr>
        <w:t>ttachm</w:t>
      </w:r>
      <w:r>
        <w:rPr>
          <w:sz w:val="28"/>
        </w:rPr>
        <w:t>ent A</w:t>
      </w:r>
      <w:r w:rsidR="001041C5" w:rsidRPr="001041C5">
        <w:rPr>
          <w:noProof/>
          <w:sz w:val="28"/>
        </w:rPr>
        <w:drawing>
          <wp:inline distT="0" distB="0" distL="0" distR="0" wp14:anchorId="4B977223" wp14:editId="277A12B1">
            <wp:extent cx="6305550" cy="363444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1452" cy="3643615"/>
                    </a:xfrm>
                    <a:prstGeom prst="rect">
                      <a:avLst/>
                    </a:prstGeom>
                  </pic:spPr>
                </pic:pic>
              </a:graphicData>
            </a:graphic>
          </wp:inline>
        </w:drawing>
      </w:r>
      <w:r w:rsidR="001041C5" w:rsidRPr="001041C5">
        <w:rPr>
          <w:noProof/>
          <w:sz w:val="28"/>
        </w:rPr>
        <w:drawing>
          <wp:inline distT="0" distB="0" distL="0" distR="0" wp14:anchorId="041F4CAA" wp14:editId="5C2B5097">
            <wp:extent cx="4940830" cy="997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3728" cy="1028640"/>
                    </a:xfrm>
                    <a:prstGeom prst="rect">
                      <a:avLst/>
                    </a:prstGeom>
                  </pic:spPr>
                </pic:pic>
              </a:graphicData>
            </a:graphic>
          </wp:inline>
        </w:drawing>
      </w:r>
      <w:r w:rsidR="001041C5" w:rsidRPr="001041C5">
        <w:rPr>
          <w:noProof/>
          <w:sz w:val="28"/>
        </w:rPr>
        <w:drawing>
          <wp:inline distT="0" distB="0" distL="0" distR="0" wp14:anchorId="5983319A" wp14:editId="4BEEE27D">
            <wp:extent cx="4629150" cy="1989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29150" cy="1989455"/>
                    </a:xfrm>
                    <a:prstGeom prst="rect">
                      <a:avLst/>
                    </a:prstGeom>
                  </pic:spPr>
                </pic:pic>
              </a:graphicData>
            </a:graphic>
          </wp:inline>
        </w:drawing>
      </w:r>
    </w:p>
    <w:p w14:paraId="194C4E1C" w14:textId="6036E64C" w:rsidR="00EB78E2" w:rsidRDefault="00EB78E2" w:rsidP="00D71440">
      <w:pPr>
        <w:jc w:val="center"/>
        <w:rPr>
          <w:sz w:val="28"/>
        </w:rPr>
      </w:pPr>
    </w:p>
    <w:p w14:paraId="7D59AA73" w14:textId="44A5AFE9" w:rsidR="00E55315" w:rsidRDefault="00DE2C2E" w:rsidP="00D71440">
      <w:pPr>
        <w:jc w:val="center"/>
        <w:rPr>
          <w:sz w:val="28"/>
        </w:rPr>
      </w:pPr>
      <w:r w:rsidRPr="00DE2C2E">
        <w:rPr>
          <w:noProof/>
        </w:rPr>
        <w:lastRenderedPageBreak/>
        <w:t xml:space="preserve"> </w:t>
      </w: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705BE828" w:rsidR="00FE329A" w:rsidRPr="00DC3864" w:rsidRDefault="002D2B69" w:rsidP="00FE329A">
                            <w:pPr>
                              <w:ind w:left="540" w:right="525"/>
                              <w:jc w:val="center"/>
                              <w:rPr>
                                <w:b/>
                              </w:rPr>
                            </w:pPr>
                            <w:r w:rsidRPr="00DC3864">
                              <w:rPr>
                                <w:b/>
                              </w:rPr>
                              <w:t xml:space="preserve">Sole Source Certification No. </w:t>
                            </w:r>
                            <w:r w:rsidR="006A050A">
                              <w:rPr>
                                <w:b/>
                              </w:rPr>
                              <w:t>SS</w:t>
                            </w:r>
                            <w:r w:rsidR="004266B8">
                              <w:rPr>
                                <w:b/>
                              </w:rPr>
                              <w:t>5745</w:t>
                            </w:r>
                          </w:p>
                          <w:p w14:paraId="20940D37" w14:textId="6F6C4175" w:rsidR="002D2B69" w:rsidRPr="00DC3864" w:rsidRDefault="006A050A" w:rsidP="002D2B69">
                            <w:pPr>
                              <w:ind w:left="540" w:right="525"/>
                              <w:jc w:val="center"/>
                              <w:rPr>
                                <w:b/>
                              </w:rPr>
                            </w:pPr>
                            <w:r>
                              <w:rPr>
                                <w:b/>
                              </w:rPr>
                              <w:t xml:space="preserve">Accepted until </w:t>
                            </w:r>
                            <w:r w:rsidR="00876FB0">
                              <w:rPr>
                                <w:b/>
                              </w:rPr>
                              <w:t>June 27</w:t>
                            </w:r>
                            <w:bookmarkStart w:id="0" w:name="_GoBack"/>
                            <w:bookmarkEnd w:id="0"/>
                            <w:r w:rsidR="001041C5">
                              <w:rPr>
                                <w:b/>
                              </w:rPr>
                              <w:t>, 2023</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705BE828" w:rsidR="00FE329A" w:rsidRPr="00DC3864" w:rsidRDefault="002D2B69" w:rsidP="00FE329A">
                      <w:pPr>
                        <w:ind w:left="540" w:right="525"/>
                        <w:jc w:val="center"/>
                        <w:rPr>
                          <w:b/>
                        </w:rPr>
                      </w:pPr>
                      <w:r w:rsidRPr="00DC3864">
                        <w:rPr>
                          <w:b/>
                        </w:rPr>
                        <w:t xml:space="preserve">Sole Source Certification No. </w:t>
                      </w:r>
                      <w:r w:rsidR="006A050A">
                        <w:rPr>
                          <w:b/>
                        </w:rPr>
                        <w:t>SS</w:t>
                      </w:r>
                      <w:r w:rsidR="004266B8">
                        <w:rPr>
                          <w:b/>
                        </w:rPr>
                        <w:t>5745</w:t>
                      </w:r>
                    </w:p>
                    <w:p w14:paraId="20940D37" w14:textId="6F6C4175" w:rsidR="002D2B69" w:rsidRPr="00DC3864" w:rsidRDefault="006A050A" w:rsidP="002D2B69">
                      <w:pPr>
                        <w:ind w:left="540" w:right="525"/>
                        <w:jc w:val="center"/>
                        <w:rPr>
                          <w:b/>
                        </w:rPr>
                      </w:pPr>
                      <w:r>
                        <w:rPr>
                          <w:b/>
                        </w:rPr>
                        <w:t xml:space="preserve">Accepted until </w:t>
                      </w:r>
                      <w:r w:rsidR="00876FB0">
                        <w:rPr>
                          <w:b/>
                        </w:rPr>
                        <w:t>June 27</w:t>
                      </w:r>
                      <w:bookmarkStart w:id="1" w:name="_GoBack"/>
                      <w:bookmarkEnd w:id="1"/>
                      <w:r w:rsidR="001041C5">
                        <w:rPr>
                          <w:b/>
                        </w:rPr>
                        <w:t>, 2023</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0E45" w14:textId="77777777" w:rsidR="00883E82" w:rsidRDefault="00883E82" w:rsidP="00D71440">
      <w:r>
        <w:separator/>
      </w:r>
    </w:p>
  </w:endnote>
  <w:endnote w:type="continuationSeparator" w:id="0">
    <w:p w14:paraId="3CAF6CE2" w14:textId="77777777" w:rsidR="00883E82" w:rsidRDefault="00883E82"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D3FE" w14:textId="77777777" w:rsidR="00883E82" w:rsidRDefault="00883E82" w:rsidP="00D71440">
      <w:r>
        <w:separator/>
      </w:r>
    </w:p>
  </w:footnote>
  <w:footnote w:type="continuationSeparator" w:id="0">
    <w:p w14:paraId="6785DF8A" w14:textId="77777777" w:rsidR="00883E82" w:rsidRDefault="00883E82"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24A56"/>
    <w:rsid w:val="00070B11"/>
    <w:rsid w:val="00086391"/>
    <w:rsid w:val="0009441A"/>
    <w:rsid w:val="000E2ADE"/>
    <w:rsid w:val="001030A3"/>
    <w:rsid w:val="001041C5"/>
    <w:rsid w:val="00104A3B"/>
    <w:rsid w:val="00112FDA"/>
    <w:rsid w:val="00137129"/>
    <w:rsid w:val="001E3E52"/>
    <w:rsid w:val="00205EEB"/>
    <w:rsid w:val="00213291"/>
    <w:rsid w:val="00231189"/>
    <w:rsid w:val="00266F9D"/>
    <w:rsid w:val="002931D8"/>
    <w:rsid w:val="002968EA"/>
    <w:rsid w:val="002A466D"/>
    <w:rsid w:val="002D2405"/>
    <w:rsid w:val="002D2B69"/>
    <w:rsid w:val="002F1534"/>
    <w:rsid w:val="002F72E5"/>
    <w:rsid w:val="003344A0"/>
    <w:rsid w:val="00335E75"/>
    <w:rsid w:val="00377421"/>
    <w:rsid w:val="00385044"/>
    <w:rsid w:val="003B12E1"/>
    <w:rsid w:val="00417F5B"/>
    <w:rsid w:val="004266B8"/>
    <w:rsid w:val="00433797"/>
    <w:rsid w:val="00466811"/>
    <w:rsid w:val="00471474"/>
    <w:rsid w:val="0050234B"/>
    <w:rsid w:val="005041F2"/>
    <w:rsid w:val="00544710"/>
    <w:rsid w:val="00580E0D"/>
    <w:rsid w:val="00600E14"/>
    <w:rsid w:val="00640E5F"/>
    <w:rsid w:val="00657F9E"/>
    <w:rsid w:val="006653BF"/>
    <w:rsid w:val="006716A1"/>
    <w:rsid w:val="006826A4"/>
    <w:rsid w:val="006A050A"/>
    <w:rsid w:val="006A721E"/>
    <w:rsid w:val="006B07FE"/>
    <w:rsid w:val="006B4EA7"/>
    <w:rsid w:val="006B61DB"/>
    <w:rsid w:val="006D274B"/>
    <w:rsid w:val="006E18BB"/>
    <w:rsid w:val="006F31B1"/>
    <w:rsid w:val="007020C4"/>
    <w:rsid w:val="007837AA"/>
    <w:rsid w:val="00794240"/>
    <w:rsid w:val="007C05E5"/>
    <w:rsid w:val="007D0102"/>
    <w:rsid w:val="007D34FC"/>
    <w:rsid w:val="007D7889"/>
    <w:rsid w:val="00803516"/>
    <w:rsid w:val="00876FB0"/>
    <w:rsid w:val="00883E82"/>
    <w:rsid w:val="008A7099"/>
    <w:rsid w:val="008C04DA"/>
    <w:rsid w:val="008C2114"/>
    <w:rsid w:val="008C6B0A"/>
    <w:rsid w:val="009031E3"/>
    <w:rsid w:val="009415BF"/>
    <w:rsid w:val="00965556"/>
    <w:rsid w:val="00980436"/>
    <w:rsid w:val="009A11DF"/>
    <w:rsid w:val="009D150D"/>
    <w:rsid w:val="009D1700"/>
    <w:rsid w:val="00A279B8"/>
    <w:rsid w:val="00AC64CE"/>
    <w:rsid w:val="00AD1310"/>
    <w:rsid w:val="00B07F4F"/>
    <w:rsid w:val="00B25F96"/>
    <w:rsid w:val="00B471E2"/>
    <w:rsid w:val="00B4728B"/>
    <w:rsid w:val="00B80ED2"/>
    <w:rsid w:val="00B96F08"/>
    <w:rsid w:val="00BA1C14"/>
    <w:rsid w:val="00BB58D7"/>
    <w:rsid w:val="00C16762"/>
    <w:rsid w:val="00C46938"/>
    <w:rsid w:val="00C51382"/>
    <w:rsid w:val="00C8233D"/>
    <w:rsid w:val="00CA7E6A"/>
    <w:rsid w:val="00CF6A77"/>
    <w:rsid w:val="00D42815"/>
    <w:rsid w:val="00D71440"/>
    <w:rsid w:val="00D851FB"/>
    <w:rsid w:val="00DB4100"/>
    <w:rsid w:val="00DC566D"/>
    <w:rsid w:val="00DE2C2E"/>
    <w:rsid w:val="00DF081F"/>
    <w:rsid w:val="00E11E1A"/>
    <w:rsid w:val="00E155BA"/>
    <w:rsid w:val="00E32357"/>
    <w:rsid w:val="00E33CC1"/>
    <w:rsid w:val="00E55315"/>
    <w:rsid w:val="00E654C5"/>
    <w:rsid w:val="00E70224"/>
    <w:rsid w:val="00EB78E2"/>
    <w:rsid w:val="00EC3087"/>
    <w:rsid w:val="00EC60F4"/>
    <w:rsid w:val="00EE05F8"/>
    <w:rsid w:val="00EE2EDC"/>
    <w:rsid w:val="00F00E95"/>
    <w:rsid w:val="00F12ADC"/>
    <w:rsid w:val="00F145D8"/>
    <w:rsid w:val="00F171F3"/>
    <w:rsid w:val="00F21BB2"/>
    <w:rsid w:val="00F54AC0"/>
    <w:rsid w:val="00F67FBC"/>
    <w:rsid w:val="00F75343"/>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B882C-10BD-4291-BCBE-28821EB3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761</Words>
  <Characters>3973</Characters>
  <Application>Microsoft Office Word</Application>
  <DocSecurity>0</DocSecurity>
  <Lines>124</Lines>
  <Paragraphs>43</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2</cp:revision>
  <cp:lastPrinted>2022-03-10T18:44:00Z</cp:lastPrinted>
  <dcterms:created xsi:type="dcterms:W3CDTF">2023-06-01T16:42:00Z</dcterms:created>
  <dcterms:modified xsi:type="dcterms:W3CDTF">2023-06-01T16:42:00Z</dcterms:modified>
</cp:coreProperties>
</file>