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B69" w:rsidRDefault="002D2B69" w:rsidP="002D2B69">
      <w:pPr>
        <w:pBdr>
          <w:bottom w:val="single" w:sz="12" w:space="9" w:color="auto"/>
        </w:pBdr>
        <w:jc w:val="center"/>
        <w:rPr>
          <w:b/>
          <w:sz w:val="36"/>
        </w:rPr>
      </w:pPr>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Pr="004A46C1" w:rsidRDefault="002D2B69" w:rsidP="002D2B69">
      <w:r w:rsidRPr="000C58CD">
        <w:rPr>
          <w:b/>
        </w:rPr>
        <w:t>From:</w:t>
      </w:r>
      <w:r>
        <w:rPr>
          <w:b/>
        </w:rPr>
        <w:t xml:space="preserve">  </w:t>
      </w:r>
      <w:r w:rsidR="00EB78E2">
        <w:t>Jennifer Douglas</w:t>
      </w:r>
      <w:r w:rsidRPr="004A46C1">
        <w:t xml:space="preserve"> </w:t>
      </w:r>
    </w:p>
    <w:p w:rsidR="002D2B69" w:rsidRPr="004A46C1" w:rsidRDefault="002D2B69" w:rsidP="002D2B69">
      <w:r w:rsidRPr="004A46C1">
        <w:tab/>
        <w:t xml:space="preserve"> </w:t>
      </w:r>
      <w:r w:rsidR="00DF081F">
        <w:t>Administrative Director, Category Management and Procurement</w:t>
      </w:r>
    </w:p>
    <w:p w:rsidR="002D2B69" w:rsidRDefault="002D2B69" w:rsidP="002D2B69"/>
    <w:p w:rsidR="002D2B69" w:rsidRPr="000C58CD" w:rsidRDefault="002D2B69" w:rsidP="002D2B69">
      <w:pPr>
        <w:rPr>
          <w:b/>
        </w:rPr>
      </w:pPr>
      <w:r w:rsidRPr="000C58CD">
        <w:rPr>
          <w:b/>
        </w:rPr>
        <w:t xml:space="preserve">Date: </w:t>
      </w:r>
      <w:r w:rsidRPr="000C58CD">
        <w:rPr>
          <w:b/>
        </w:rPr>
        <w:tab/>
      </w:r>
      <w:r w:rsidR="00906692">
        <w:t>April 12, 2023</w:t>
      </w:r>
    </w:p>
    <w:p w:rsidR="002D2B69" w:rsidRDefault="002D2B69" w:rsidP="002D2B69"/>
    <w:p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906692">
        <w:rPr>
          <w:b/>
        </w:rPr>
        <w:t>757</w:t>
      </w:r>
      <w:r w:rsidR="00CF6A77">
        <w:rPr>
          <w:b/>
          <w:color w:val="FF0000"/>
        </w:rPr>
        <w:t xml:space="preserve"> </w:t>
      </w:r>
      <w:r>
        <w:t>for</w:t>
      </w:r>
      <w:r w:rsidR="0009441A">
        <w:rPr>
          <w:b/>
        </w:rPr>
        <w:t xml:space="preserve"> </w:t>
      </w:r>
      <w:r w:rsidR="00906692">
        <w:rPr>
          <w:b/>
        </w:rPr>
        <w:t>Polarographic Oxygen Sensors and accessories</w:t>
      </w:r>
    </w:p>
    <w:p w:rsidR="008C04DA" w:rsidRDefault="008C04DA" w:rsidP="00213291">
      <w:pPr>
        <w:ind w:left="720" w:hanging="720"/>
      </w:pPr>
    </w:p>
    <w:p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UMMC Sole Source Certification Number </w:t>
      </w:r>
      <w:r w:rsidR="00906692">
        <w:rPr>
          <w:b/>
        </w:rPr>
        <w:t>SS5757</w:t>
      </w:r>
      <w:r w:rsidR="002D2405" w:rsidRPr="000E2ADE">
        <w:rPr>
          <w:color w:val="FF0000"/>
        </w:rPr>
        <w:t xml:space="preserve"> </w:t>
      </w:r>
      <w:r w:rsidR="009415BF">
        <w:t>for</w:t>
      </w:r>
      <w:r w:rsidR="007D34FC">
        <w:t xml:space="preserve"> </w:t>
      </w:r>
      <w:r w:rsidR="00906692">
        <w:rPr>
          <w:rFonts w:eastAsia="Calibri"/>
        </w:rPr>
        <w:t>Polarographic oxygen sensors and accessories,</w:t>
      </w:r>
      <w:r w:rsidRPr="004A46C1">
        <w:t xml:space="preserve"> please be advised that UMMC intends to award the purchase to</w:t>
      </w:r>
      <w:r w:rsidR="007C05E5">
        <w:t xml:space="preserve"> </w:t>
      </w:r>
      <w:r w:rsidR="00906692">
        <w:t>Oroboros Instruments</w:t>
      </w:r>
      <w:r w:rsidRPr="004A46C1">
        <w:t xml:space="preserve"> as the sole source provider</w:t>
      </w:r>
      <w:r w:rsidR="006B07FE">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AD1310" w:rsidRDefault="008C0E7E" w:rsidP="006F31B1">
            <w:r>
              <w:t>May 8</w:t>
            </w:r>
            <w:r w:rsidR="007F5CBE">
              <w:t>, 2023</w:t>
            </w:r>
          </w:p>
        </w:tc>
      </w:tr>
      <w:tr w:rsidR="002D2B69" w:rsidTr="006B61DB">
        <w:trPr>
          <w:jc w:val="center"/>
        </w:trPr>
        <w:tc>
          <w:tcPr>
            <w:tcW w:w="4045" w:type="dxa"/>
          </w:tcPr>
          <w:p w:rsidR="002D2B69" w:rsidRDefault="002D2B69" w:rsidP="006B61DB">
            <w:r>
              <w:t>Second Advertisement Date</w:t>
            </w:r>
          </w:p>
        </w:tc>
        <w:tc>
          <w:tcPr>
            <w:tcW w:w="3600" w:type="dxa"/>
          </w:tcPr>
          <w:p w:rsidR="002D2B69" w:rsidRPr="00AD1310" w:rsidRDefault="008C0E7E" w:rsidP="00B80ED2">
            <w:r>
              <w:t>May 15,</w:t>
            </w:r>
            <w:r w:rsidR="007F5CBE">
              <w:t xml:space="preserve"> 2023</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AD1310" w:rsidRDefault="007F5CBE" w:rsidP="00EB78E2">
            <w:r>
              <w:t xml:space="preserve">May </w:t>
            </w:r>
            <w:r w:rsidR="008C0E7E">
              <w:t>22</w:t>
            </w:r>
            <w:r>
              <w:t>, 2023</w:t>
            </w:r>
            <w:r w:rsidR="00EB78E2">
              <w:t xml:space="preserve"> </w:t>
            </w:r>
            <w:r w:rsidR="002D2B69" w:rsidRPr="00AD1310">
              <w:t>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AD1310" w:rsidRDefault="002D2B69" w:rsidP="007D34FC">
            <w:r w:rsidRPr="00AD1310">
              <w:t xml:space="preserve">Not before </w:t>
            </w:r>
            <w:r w:rsidR="007F5CBE">
              <w:t xml:space="preserve">May </w:t>
            </w:r>
            <w:r w:rsidR="008C0E7E">
              <w:t>29</w:t>
            </w:r>
            <w:r w:rsidR="007F5CBE">
              <w:t>, 2023</w:t>
            </w:r>
          </w:p>
        </w:tc>
      </w:tr>
    </w:tbl>
    <w:p w:rsidR="002D2B69" w:rsidRDefault="002D2B69" w:rsidP="002D2B69"/>
    <w:p w:rsidR="00D71440" w:rsidRDefault="00D71440" w:rsidP="002D2B69">
      <w:pPr>
        <w:rPr>
          <w:b/>
        </w:rPr>
      </w:pPr>
    </w:p>
    <w:p w:rsidR="007D34FC" w:rsidRDefault="007D34FC" w:rsidP="002D2B69">
      <w:pPr>
        <w:rPr>
          <w:b/>
        </w:rPr>
      </w:pP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6B07FE" w:rsidRDefault="006B07FE" w:rsidP="006B07FE">
      <w:pPr>
        <w:pStyle w:val="ListParagraph"/>
        <w:rPr>
          <w:b/>
        </w:rPr>
      </w:pPr>
    </w:p>
    <w:p w:rsidR="00D96BEF" w:rsidRDefault="00D96BEF" w:rsidP="00D96BEF">
      <w:pPr>
        <w:ind w:left="720"/>
      </w:pPr>
      <w:r w:rsidRPr="00DB4100">
        <w:t>The University of Mississippi Medical Center (UMMC)</w:t>
      </w:r>
      <w:r>
        <w:t xml:space="preserve"> is seeking to purchase</w:t>
      </w:r>
      <w:r w:rsidR="007F5CBE">
        <w:t xml:space="preserve"> four (4)</w:t>
      </w:r>
      <w:r>
        <w:t xml:space="preserve"> Oroboros O2K polarographic oxygen </w:t>
      </w:r>
      <w:r w:rsidR="007F5CBE">
        <w:t>sensors and</w:t>
      </w:r>
      <w:r>
        <w:t xml:space="preserve"> accessories to be used for mitochondria and cell research.  This device will perform with a high resolution respirometry with reduced amounts of biological sample and all components necessary for smaller operation volume.  </w:t>
      </w:r>
    </w:p>
    <w:p w:rsidR="00377421" w:rsidRDefault="00377421" w:rsidP="00377421">
      <w:pPr>
        <w:pStyle w:val="ListParagraph"/>
        <w:rPr>
          <w:i/>
        </w:rPr>
      </w:pPr>
    </w:p>
    <w:p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rsidR="00377421" w:rsidRDefault="00377421" w:rsidP="00377421">
      <w:pPr>
        <w:ind w:left="360"/>
        <w:rPr>
          <w:i/>
        </w:rPr>
      </w:pPr>
    </w:p>
    <w:p w:rsidR="00BB58D7" w:rsidRDefault="008A7099" w:rsidP="00377421">
      <w:pPr>
        <w:pStyle w:val="ListParagraph"/>
      </w:pPr>
      <w:r>
        <w:t>UMMC</w:t>
      </w:r>
      <w:r w:rsidR="00C8233D">
        <w:t xml:space="preserve"> currently owns </w:t>
      </w:r>
      <w:r w:rsidR="00D96BEF">
        <w:t>Oroboros modules and related accessories as well as O2K FluoRespirometers</w:t>
      </w:r>
      <w:r w:rsidR="00906692">
        <w:t xml:space="preserve"> from</w:t>
      </w:r>
      <w:r w:rsidR="00C8233D">
        <w:t xml:space="preserve"> </w:t>
      </w:r>
      <w:r w:rsidR="00906692">
        <w:t>Oroboros Instruments</w:t>
      </w:r>
      <w:r w:rsidR="00C8233D">
        <w:t xml:space="preserve"> that are used in research now.  </w:t>
      </w:r>
      <w:r w:rsidR="00D96BEF">
        <w:t xml:space="preserve">The polarographic oxygen sensors are only compatible with the existing equipment.  This will be additional equipment based on ongoing research needs to continue to perform state-of-the-art, comprehensive measurements of mitochondrial function as part of the internal and collaborative research efforts of the Department of Cell and Molecular Biology and the Department </w:t>
      </w:r>
      <w:r w:rsidR="00D94615">
        <w:t>of Physiology at UMMC.</w:t>
      </w:r>
    </w:p>
    <w:p w:rsidR="001E3E52" w:rsidRDefault="001E3E52" w:rsidP="00377421">
      <w:pPr>
        <w:pStyle w:val="ListParagraph"/>
      </w:pPr>
    </w:p>
    <w:p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DB4100" w:rsidRPr="00EB37F3" w:rsidRDefault="00DB4100" w:rsidP="00DB4100">
      <w:pPr>
        <w:pStyle w:val="PlainText"/>
        <w:ind w:left="720"/>
        <w:jc w:val="both"/>
        <w:rPr>
          <w:rFonts w:ascii="Times New Roman" w:hAnsi="Times New Roman" w:cs="Times New Roman"/>
          <w:b/>
          <w:sz w:val="24"/>
          <w:szCs w:val="24"/>
        </w:rPr>
      </w:pPr>
    </w:p>
    <w:p w:rsidR="00DC566D" w:rsidRPr="006B61DB" w:rsidRDefault="00906692" w:rsidP="006E18BB">
      <w:pPr>
        <w:pStyle w:val="ListParagraph"/>
      </w:pPr>
      <w:r>
        <w:t>Oroboros Instruments</w:t>
      </w:r>
      <w:r w:rsidR="00C8233D">
        <w:t xml:space="preserve"> is the sole manufacturer and supplier of this </w:t>
      </w:r>
      <w:r>
        <w:t xml:space="preserve">Polarographic oxygen sensors and </w:t>
      </w:r>
      <w:r w:rsidR="007F5CBE">
        <w:t>accessories.</w:t>
      </w:r>
      <w:r w:rsidR="00C8233D">
        <w:t xml:space="preserve">  They are not available from any other distributor.  See supporting le</w:t>
      </w:r>
      <w:r w:rsidR="00DE2C2E">
        <w:t xml:space="preserve">tter from </w:t>
      </w:r>
      <w:r>
        <w:t>Oroboros Instruments</w:t>
      </w:r>
      <w:r w:rsidR="00DE2C2E">
        <w:t>, Inc., Attachment A.</w:t>
      </w:r>
    </w:p>
    <w:p w:rsidR="00DC566D" w:rsidRDefault="00DC566D" w:rsidP="00DC566D">
      <w:pPr>
        <w:pStyle w:val="ListParagraph"/>
        <w:rPr>
          <w:b/>
        </w:rPr>
      </w:pPr>
    </w:p>
    <w:p w:rsidR="00DC566D" w:rsidRDefault="00DC566D" w:rsidP="00DC566D">
      <w:pPr>
        <w:pStyle w:val="ListParagraph"/>
        <w:numPr>
          <w:ilvl w:val="0"/>
          <w:numId w:val="5"/>
        </w:numPr>
        <w:rPr>
          <w:b/>
        </w:rPr>
      </w:pPr>
      <w:r w:rsidRPr="00EB37F3">
        <w:rPr>
          <w:b/>
        </w:rPr>
        <w:t xml:space="preserve">Explain why the amount to be expended for the commodity is reasonable:  </w:t>
      </w:r>
    </w:p>
    <w:p w:rsidR="00DB4100" w:rsidRPr="00EB37F3" w:rsidRDefault="00DB4100" w:rsidP="00DB4100">
      <w:pPr>
        <w:pStyle w:val="ListParagraph"/>
        <w:rPr>
          <w:b/>
        </w:rPr>
      </w:pPr>
    </w:p>
    <w:p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06692">
        <w:rPr>
          <w:rFonts w:ascii="Times New Roman" w:hAnsi="Times New Roman" w:cs="Times New Roman"/>
          <w:sz w:val="24"/>
          <w:szCs w:val="24"/>
        </w:rPr>
        <w:t xml:space="preserve">Polarographic oxygen sensors and </w:t>
      </w:r>
      <w:r w:rsidR="007F5CBE">
        <w:rPr>
          <w:rFonts w:ascii="Times New Roman" w:hAnsi="Times New Roman" w:cs="Times New Roman"/>
          <w:sz w:val="24"/>
          <w:szCs w:val="24"/>
        </w:rPr>
        <w:t xml:space="preserve">accessories </w:t>
      </w:r>
      <w:r w:rsidR="007F5CBE" w:rsidRPr="006E18BB">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7F5CBE">
        <w:rPr>
          <w:rFonts w:ascii="Times New Roman" w:hAnsi="Times New Roman" w:cs="Times New Roman"/>
          <w:bCs/>
          <w:sz w:val="24"/>
          <w:szCs w:val="24"/>
        </w:rPr>
        <w:t>15,000.00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rsidR="00DC566D" w:rsidRDefault="00DC566D"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DB4100" w:rsidRDefault="00DB4100" w:rsidP="00DB4100">
      <w:pPr>
        <w:pStyle w:val="ListParagraph"/>
        <w:rPr>
          <w:rFonts w:eastAsia="Calibri"/>
          <w:b/>
        </w:rPr>
      </w:pPr>
    </w:p>
    <w:p w:rsidR="00DC566D" w:rsidRDefault="00024A56" w:rsidP="00DC566D">
      <w:pPr>
        <w:pStyle w:val="ListParagraph"/>
        <w:jc w:val="both"/>
      </w:pPr>
      <w:r>
        <w:rPr>
          <w:rFonts w:eastAsia="Calibri"/>
        </w:rPr>
        <w:t>Pricing is compared against available market intelligence and identified discounts are pursued where applicable.</w:t>
      </w:r>
    </w:p>
    <w:p w:rsidR="00DB4100" w:rsidRDefault="00DB4100" w:rsidP="00DC566D">
      <w:pPr>
        <w:pStyle w:val="ListParagraph"/>
        <w:jc w:val="both"/>
      </w:pPr>
    </w:p>
    <w:p w:rsidR="00DB4100" w:rsidRDefault="00DB4100"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7D34FC" w:rsidRDefault="007D34FC" w:rsidP="00DC566D">
      <w:pPr>
        <w:pStyle w:val="ListParagraph"/>
        <w:jc w:val="both"/>
      </w:pPr>
    </w:p>
    <w:p w:rsidR="007D34FC" w:rsidRDefault="007D34FC" w:rsidP="00DC566D">
      <w:pPr>
        <w:pStyle w:val="ListParagraph"/>
        <w:jc w:val="both"/>
      </w:pPr>
    </w:p>
    <w:p w:rsidR="00213291" w:rsidRDefault="00213291" w:rsidP="00DC566D">
      <w:pPr>
        <w:pStyle w:val="ListParagraph"/>
        <w:jc w:val="both"/>
      </w:pPr>
    </w:p>
    <w:p w:rsidR="00DB4100" w:rsidRDefault="00DB4100" w:rsidP="006E18BB">
      <w:pPr>
        <w:jc w:val="both"/>
      </w:pPr>
    </w:p>
    <w:p w:rsidR="002D2B69" w:rsidRPr="00DC3864" w:rsidRDefault="00BB58D7" w:rsidP="002D2B69">
      <w:pPr>
        <w:rPr>
          <w:b/>
        </w:rPr>
      </w:pPr>
      <w:r>
        <w:rPr>
          <w:b/>
        </w:rPr>
        <w:t>S</w:t>
      </w:r>
      <w:r w:rsidR="002D2B69" w:rsidRPr="00DC3864">
        <w:rPr>
          <w:b/>
        </w:rPr>
        <w:t>ubmission Instructions and Format of Response from Objecting Parties</w:t>
      </w:r>
    </w:p>
    <w:p w:rsidR="002D2B69" w:rsidRDefault="002D2B69" w:rsidP="002D2B69"/>
    <w:p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906692">
        <w:rPr>
          <w:rFonts w:ascii="Times New Roman" w:eastAsia="Calibri" w:hAnsi="Times New Roman" w:cs="Times New Roman"/>
          <w:sz w:val="24"/>
          <w:szCs w:val="24"/>
        </w:rPr>
        <w:t xml:space="preserve">Polarographic oxygen sensors and </w:t>
      </w:r>
      <w:proofErr w:type="gramStart"/>
      <w:r w:rsidR="00906692">
        <w:rPr>
          <w:rFonts w:ascii="Times New Roman" w:eastAsia="Calibri" w:hAnsi="Times New Roman" w:cs="Times New Roman"/>
          <w:sz w:val="24"/>
          <w:szCs w:val="24"/>
        </w:rPr>
        <w:t xml:space="preserve">accessories </w:t>
      </w:r>
      <w:r w:rsidR="007C05E5" w:rsidRPr="00FA77E7">
        <w:rPr>
          <w:rFonts w:ascii="Times New Roman" w:hAnsi="Times New Roman" w:cs="Times New Roman"/>
          <w:sz w:val="24"/>
          <w:szCs w:val="24"/>
        </w:rPr>
        <w:t>,</w:t>
      </w:r>
      <w:proofErr w:type="gramEnd"/>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906692">
        <w:rPr>
          <w:rFonts w:ascii="Times New Roman" w:hAnsi="Times New Roman" w:cs="Times New Roman"/>
          <w:sz w:val="24"/>
          <w:szCs w:val="24"/>
        </w:rPr>
        <w:t>Oroboros Instruments</w:t>
      </w:r>
      <w:r w:rsidR="006A050A">
        <w:rPr>
          <w:rFonts w:ascii="Times New Roman" w:hAnsi="Times New Roman" w:cs="Times New Roman"/>
          <w:sz w:val="24"/>
          <w:szCs w:val="24"/>
        </w:rPr>
        <w:t>, Inc</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7F5CBE">
        <w:t xml:space="preserve">May </w:t>
      </w:r>
      <w:r w:rsidR="008C0E7E">
        <w:t>22</w:t>
      </w:r>
      <w:r w:rsidR="007F5CBE">
        <w:t>, 2023</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2D2B69" w:rsidRDefault="002D2B69" w:rsidP="002D2B69"/>
    <w:p w:rsidR="002D2B69" w:rsidRDefault="002D2B69" w:rsidP="002D2B69"/>
    <w:p w:rsidR="002D2B69" w:rsidRPr="00CC5913" w:rsidRDefault="002D2B69" w:rsidP="002D2B69">
      <w:r w:rsidRPr="00CC5913">
        <w:t xml:space="preserve">Attachment A:  Vendor Correspondence </w:t>
      </w:r>
    </w:p>
    <w:p w:rsidR="002931D8" w:rsidRDefault="002D2B69" w:rsidP="002D2B69">
      <w:r w:rsidRPr="00CC5913">
        <w:t>Attachment B:  Objection Certification</w:t>
      </w:r>
    </w:p>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31189" w:rsidRDefault="00231189" w:rsidP="002D2B69"/>
    <w:p w:rsidR="00580E0D" w:rsidRDefault="00580E0D" w:rsidP="00580E0D">
      <w:pPr>
        <w:rPr>
          <w:sz w:val="28"/>
        </w:rPr>
      </w:pPr>
    </w:p>
    <w:p w:rsidR="00580E0D" w:rsidRDefault="00580E0D" w:rsidP="00580E0D">
      <w:pPr>
        <w:jc w:val="center"/>
        <w:rPr>
          <w:sz w:val="28"/>
        </w:rPr>
      </w:pPr>
    </w:p>
    <w:p w:rsidR="00580E0D" w:rsidRDefault="00580E0D" w:rsidP="00580E0D">
      <w:pPr>
        <w:jc w:val="center"/>
        <w:rPr>
          <w:noProof/>
        </w:rPr>
      </w:pPr>
    </w:p>
    <w:p w:rsidR="00580E0D" w:rsidRDefault="00580E0D"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BB58D7" w:rsidRDefault="00BB58D7" w:rsidP="00580E0D">
      <w:pPr>
        <w:jc w:val="center"/>
        <w:rPr>
          <w:sz w:val="28"/>
        </w:rPr>
      </w:pPr>
    </w:p>
    <w:p w:rsidR="007D34FC" w:rsidRDefault="007D34FC" w:rsidP="00580E0D">
      <w:pPr>
        <w:jc w:val="center"/>
        <w:rPr>
          <w:sz w:val="28"/>
        </w:rPr>
      </w:pPr>
    </w:p>
    <w:p w:rsidR="007D34FC" w:rsidRDefault="007D34FC" w:rsidP="00580E0D">
      <w:pPr>
        <w:jc w:val="center"/>
        <w:rPr>
          <w:sz w:val="28"/>
        </w:rPr>
      </w:pPr>
    </w:p>
    <w:p w:rsidR="00E155BA" w:rsidRDefault="00E155BA" w:rsidP="00580E0D">
      <w:pPr>
        <w:jc w:val="center"/>
        <w:rPr>
          <w:sz w:val="28"/>
        </w:rPr>
      </w:pPr>
    </w:p>
    <w:p w:rsidR="00E155BA" w:rsidRDefault="00E155BA" w:rsidP="00D71440">
      <w:pPr>
        <w:rPr>
          <w:sz w:val="28"/>
        </w:rPr>
      </w:pPr>
    </w:p>
    <w:p w:rsidR="00E155BA" w:rsidRDefault="00D71440" w:rsidP="00D71440">
      <w:pPr>
        <w:jc w:val="center"/>
        <w:rPr>
          <w:sz w:val="28"/>
        </w:rPr>
      </w:pPr>
      <w:r>
        <w:rPr>
          <w:sz w:val="28"/>
        </w:rPr>
        <w:t>A</w:t>
      </w:r>
      <w:r w:rsidR="00E155BA">
        <w:rPr>
          <w:sz w:val="28"/>
        </w:rPr>
        <w:t>ttachm</w:t>
      </w:r>
      <w:r>
        <w:rPr>
          <w:sz w:val="28"/>
        </w:rPr>
        <w:t>ent A</w:t>
      </w:r>
    </w:p>
    <w:p w:rsidR="00EB78E2" w:rsidRDefault="007F5CBE" w:rsidP="00D71440">
      <w:pPr>
        <w:jc w:val="center"/>
        <w:rPr>
          <w:sz w:val="28"/>
        </w:rPr>
      </w:pPr>
      <w:r w:rsidRPr="001041C5">
        <w:rPr>
          <w:noProof/>
          <w:sz w:val="28"/>
        </w:rPr>
        <w:drawing>
          <wp:inline distT="0" distB="0" distL="0" distR="0" wp14:anchorId="3BD3E858" wp14:editId="0ECB51FD">
            <wp:extent cx="5943600" cy="342550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25501"/>
                    </a:xfrm>
                    <a:prstGeom prst="rect">
                      <a:avLst/>
                    </a:prstGeom>
                  </pic:spPr>
                </pic:pic>
              </a:graphicData>
            </a:graphic>
          </wp:inline>
        </w:drawing>
      </w:r>
      <w:r w:rsidRPr="001041C5">
        <w:rPr>
          <w:noProof/>
          <w:sz w:val="28"/>
        </w:rPr>
        <w:drawing>
          <wp:inline distT="0" distB="0" distL="0" distR="0" wp14:anchorId="37C2B7FB" wp14:editId="4418E18A">
            <wp:extent cx="4940830" cy="997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3728" cy="1028640"/>
                    </a:xfrm>
                    <a:prstGeom prst="rect">
                      <a:avLst/>
                    </a:prstGeom>
                  </pic:spPr>
                </pic:pic>
              </a:graphicData>
            </a:graphic>
          </wp:inline>
        </w:drawing>
      </w:r>
      <w:r w:rsidRPr="001041C5">
        <w:rPr>
          <w:noProof/>
          <w:sz w:val="28"/>
        </w:rPr>
        <w:drawing>
          <wp:inline distT="0" distB="0" distL="0" distR="0" wp14:anchorId="563068DA" wp14:editId="1A3346D1">
            <wp:extent cx="4629150" cy="1989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9150" cy="1989455"/>
                    </a:xfrm>
                    <a:prstGeom prst="rect">
                      <a:avLst/>
                    </a:prstGeom>
                  </pic:spPr>
                </pic:pic>
              </a:graphicData>
            </a:graphic>
          </wp:inline>
        </w:drawing>
      </w:r>
    </w:p>
    <w:p w:rsidR="00E55315" w:rsidRDefault="00DE2C2E" w:rsidP="00D71440">
      <w:pPr>
        <w:jc w:val="center"/>
        <w:rPr>
          <w:sz w:val="28"/>
        </w:rPr>
      </w:pPr>
      <w:r w:rsidRPr="00DE2C2E">
        <w:rPr>
          <w:noProof/>
        </w:rPr>
        <w:t xml:space="preserve"> </w:t>
      </w:r>
    </w:p>
    <w:p w:rsidR="00E155BA" w:rsidRDefault="00E155BA" w:rsidP="00580E0D">
      <w:pPr>
        <w:jc w:val="center"/>
        <w:rPr>
          <w:sz w:val="28"/>
        </w:rPr>
      </w:pPr>
    </w:p>
    <w:p w:rsidR="00E55315" w:rsidRDefault="002D2B69" w:rsidP="00580E0D">
      <w:pPr>
        <w:ind w:left="3600"/>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FE329A" w:rsidRPr="00DC3864" w:rsidRDefault="002D2B69" w:rsidP="00FE329A">
                            <w:pPr>
                              <w:ind w:left="540" w:right="525"/>
                              <w:jc w:val="center"/>
                              <w:rPr>
                                <w:b/>
                              </w:rPr>
                            </w:pPr>
                            <w:r w:rsidRPr="00DC3864">
                              <w:rPr>
                                <w:b/>
                              </w:rPr>
                              <w:t xml:space="preserve">Sole Source Certification No. </w:t>
                            </w:r>
                            <w:r w:rsidR="00906692">
                              <w:rPr>
                                <w:b/>
                              </w:rPr>
                              <w:t>SS5757</w:t>
                            </w:r>
                          </w:p>
                          <w:p w:rsidR="002D2B69" w:rsidRPr="00DC3864" w:rsidRDefault="006A050A" w:rsidP="002D2B69">
                            <w:pPr>
                              <w:ind w:left="540" w:right="525"/>
                              <w:jc w:val="center"/>
                              <w:rPr>
                                <w:b/>
                              </w:rPr>
                            </w:pPr>
                            <w:r>
                              <w:rPr>
                                <w:b/>
                              </w:rPr>
                              <w:t xml:space="preserve">Accepted until </w:t>
                            </w:r>
                            <w:r w:rsidR="007F5CBE">
                              <w:rPr>
                                <w:b/>
                              </w:rPr>
                              <w:t xml:space="preserve">May </w:t>
                            </w:r>
                            <w:r w:rsidR="008C0E7E">
                              <w:rPr>
                                <w:b/>
                              </w:rPr>
                              <w:t>22</w:t>
                            </w:r>
                            <w:bookmarkStart w:id="0" w:name="_GoBack"/>
                            <w:bookmarkEnd w:id="0"/>
                            <w:r w:rsidR="007F5CBE">
                              <w:rPr>
                                <w:b/>
                              </w:rPr>
                              <w:t>, 2023</w:t>
                            </w:r>
                            <w:r w:rsidR="002D2B69" w:rsidRPr="00DC3864">
                              <w:rPr>
                                <w:b/>
                              </w:rPr>
                              <w:t xml:space="preserve">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FE329A" w:rsidRPr="00DC3864" w:rsidRDefault="002D2B69" w:rsidP="00FE329A">
                      <w:pPr>
                        <w:ind w:left="540" w:right="525"/>
                        <w:jc w:val="center"/>
                        <w:rPr>
                          <w:b/>
                        </w:rPr>
                      </w:pPr>
                      <w:r w:rsidRPr="00DC3864">
                        <w:rPr>
                          <w:b/>
                        </w:rPr>
                        <w:t xml:space="preserve">Sole Source Certification No. </w:t>
                      </w:r>
                      <w:r w:rsidR="00906692">
                        <w:rPr>
                          <w:b/>
                        </w:rPr>
                        <w:t>SS5757</w:t>
                      </w:r>
                    </w:p>
                    <w:p w:rsidR="002D2B69" w:rsidRPr="00DC3864" w:rsidRDefault="006A050A" w:rsidP="002D2B69">
                      <w:pPr>
                        <w:ind w:left="540" w:right="525"/>
                        <w:jc w:val="center"/>
                        <w:rPr>
                          <w:b/>
                        </w:rPr>
                      </w:pPr>
                      <w:r>
                        <w:rPr>
                          <w:b/>
                        </w:rPr>
                        <w:t xml:space="preserve">Accepted until </w:t>
                      </w:r>
                      <w:r w:rsidR="007F5CBE">
                        <w:rPr>
                          <w:b/>
                        </w:rPr>
                        <w:t xml:space="preserve">May </w:t>
                      </w:r>
                      <w:r w:rsidR="008C0E7E">
                        <w:rPr>
                          <w:b/>
                        </w:rPr>
                        <w:t>22</w:t>
                      </w:r>
                      <w:bookmarkStart w:id="1" w:name="_GoBack"/>
                      <w:bookmarkEnd w:id="1"/>
                      <w:r w:rsidR="007F5CBE">
                        <w:rPr>
                          <w:b/>
                        </w:rPr>
                        <w:t>, 2023</w:t>
                      </w:r>
                      <w:r w:rsidR="002D2B69" w:rsidRPr="00DC3864">
                        <w:rPr>
                          <w:b/>
                        </w:rPr>
                        <w:t xml:space="preserve">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rsidR="00E55315" w:rsidRDefault="00E55315" w:rsidP="00580E0D">
      <w:pPr>
        <w:ind w:left="3600"/>
        <w:rPr>
          <w:sz w:val="28"/>
        </w:rPr>
      </w:pPr>
    </w:p>
    <w:p w:rsidR="002D2B69" w:rsidRDefault="002D2B69" w:rsidP="002D2B69"/>
    <w:p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77A" w:rsidRDefault="0078677A" w:rsidP="00D71440">
      <w:r>
        <w:separator/>
      </w:r>
    </w:p>
  </w:endnote>
  <w:endnote w:type="continuationSeparator" w:id="0">
    <w:p w:rsidR="0078677A" w:rsidRDefault="0078677A"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77A" w:rsidRDefault="0078677A" w:rsidP="00D71440">
      <w:r>
        <w:separator/>
      </w:r>
    </w:p>
  </w:footnote>
  <w:footnote w:type="continuationSeparator" w:id="0">
    <w:p w:rsidR="0078677A" w:rsidRDefault="0078677A"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1030A3"/>
    <w:rsid w:val="00104A3B"/>
    <w:rsid w:val="00112FDA"/>
    <w:rsid w:val="00137129"/>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417F5B"/>
    <w:rsid w:val="00466811"/>
    <w:rsid w:val="00471474"/>
    <w:rsid w:val="0050234B"/>
    <w:rsid w:val="005041F2"/>
    <w:rsid w:val="00544710"/>
    <w:rsid w:val="00580E0D"/>
    <w:rsid w:val="005A4E71"/>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8677A"/>
    <w:rsid w:val="00794240"/>
    <w:rsid w:val="007C05E5"/>
    <w:rsid w:val="007D0102"/>
    <w:rsid w:val="007D34FC"/>
    <w:rsid w:val="007D7889"/>
    <w:rsid w:val="007F5CBE"/>
    <w:rsid w:val="00803516"/>
    <w:rsid w:val="00883E82"/>
    <w:rsid w:val="008A7099"/>
    <w:rsid w:val="008C04DA"/>
    <w:rsid w:val="008C0E7E"/>
    <w:rsid w:val="008C2114"/>
    <w:rsid w:val="008C6B0A"/>
    <w:rsid w:val="009031E3"/>
    <w:rsid w:val="00906692"/>
    <w:rsid w:val="009415BF"/>
    <w:rsid w:val="00965556"/>
    <w:rsid w:val="00980436"/>
    <w:rsid w:val="009D150D"/>
    <w:rsid w:val="009D1700"/>
    <w:rsid w:val="00A279B8"/>
    <w:rsid w:val="00AC64CE"/>
    <w:rsid w:val="00AD1310"/>
    <w:rsid w:val="00B07F4F"/>
    <w:rsid w:val="00B25F96"/>
    <w:rsid w:val="00B471E2"/>
    <w:rsid w:val="00B4728B"/>
    <w:rsid w:val="00B80ED2"/>
    <w:rsid w:val="00B96F08"/>
    <w:rsid w:val="00BA1C14"/>
    <w:rsid w:val="00BB58D7"/>
    <w:rsid w:val="00C16762"/>
    <w:rsid w:val="00C46938"/>
    <w:rsid w:val="00C51382"/>
    <w:rsid w:val="00C8233D"/>
    <w:rsid w:val="00CA7E6A"/>
    <w:rsid w:val="00CF6A77"/>
    <w:rsid w:val="00D42815"/>
    <w:rsid w:val="00D71440"/>
    <w:rsid w:val="00D851FB"/>
    <w:rsid w:val="00D94615"/>
    <w:rsid w:val="00D96BEF"/>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661A"/>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28F3-C1CF-48AD-B7C5-DDCC77B6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4107</Characters>
  <Application>Microsoft Office Word</Application>
  <DocSecurity>4</DocSecurity>
  <Lines>186</Lines>
  <Paragraphs>58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2023-05-02T21:08:00Z</dcterms:created>
  <dcterms:modified xsi:type="dcterms:W3CDTF">2023-05-02T21:08:00Z</dcterms:modified>
</cp:coreProperties>
</file>