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4CEE4435" w:rsidR="002D2B69" w:rsidRPr="000C58CD" w:rsidRDefault="002D2B69" w:rsidP="002D2B69">
      <w:pPr>
        <w:rPr>
          <w:b/>
        </w:rPr>
      </w:pPr>
      <w:r w:rsidRPr="000C58CD">
        <w:rPr>
          <w:b/>
        </w:rPr>
        <w:t xml:space="preserve">Date: </w:t>
      </w:r>
      <w:r w:rsidRPr="000C58CD">
        <w:rPr>
          <w:b/>
        </w:rPr>
        <w:tab/>
      </w:r>
      <w:r w:rsidR="004E7EC7">
        <w:t>April 26</w:t>
      </w:r>
      <w:r w:rsidR="00026285">
        <w:t>, 2018</w:t>
      </w:r>
    </w:p>
    <w:p w14:paraId="24610532" w14:textId="77777777" w:rsidR="002D2B69" w:rsidRDefault="002D2B69" w:rsidP="002D2B69"/>
    <w:p w14:paraId="39111945" w14:textId="2F47A1D9" w:rsidR="002D2B69" w:rsidRDefault="002D2B69" w:rsidP="009D150D">
      <w:pPr>
        <w:ind w:left="720" w:hanging="720"/>
      </w:pPr>
      <w:r w:rsidRPr="000C58CD">
        <w:rPr>
          <w:b/>
        </w:rPr>
        <w:t>Re:</w:t>
      </w:r>
      <w:r>
        <w:t xml:space="preserve"> </w:t>
      </w:r>
      <w:r>
        <w:tab/>
        <w:t xml:space="preserve">Sole Source Certification Number </w:t>
      </w:r>
      <w:r w:rsidR="001B22B0">
        <w:rPr>
          <w:b/>
        </w:rPr>
        <w:t>SS</w:t>
      </w:r>
      <w:r w:rsidR="000F7174">
        <w:rPr>
          <w:b/>
        </w:rPr>
        <w:t>906</w:t>
      </w:r>
      <w:r w:rsidR="004E7EC7">
        <w:rPr>
          <w:b/>
        </w:rPr>
        <w:t>1</w:t>
      </w:r>
      <w:r w:rsidRPr="000E2ADE">
        <w:rPr>
          <w:color w:val="FF0000"/>
        </w:rPr>
        <w:t xml:space="preserve"> </w:t>
      </w:r>
      <w:r w:rsidR="004E7EC7">
        <w:t>for AACN/Benchworks Undergraduate and MSN Exit Assessments</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6"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13EADCF9" w14:textId="67E4BBEF" w:rsidR="004E7EC7" w:rsidRPr="004E7EC7" w:rsidRDefault="002D2B69" w:rsidP="004E7EC7">
      <w:pPr>
        <w:ind w:left="720" w:hanging="720"/>
        <w:rPr>
          <w:b/>
        </w:rPr>
      </w:pPr>
      <w:r>
        <w:t xml:space="preserve">Regarding UMMC Sole Source Certification Number </w:t>
      </w:r>
      <w:r w:rsidR="001B22B0">
        <w:rPr>
          <w:b/>
        </w:rPr>
        <w:t>SS</w:t>
      </w:r>
      <w:r w:rsidR="00765458">
        <w:rPr>
          <w:b/>
        </w:rPr>
        <w:t>90</w:t>
      </w:r>
      <w:r w:rsidR="004E7EC7">
        <w:rPr>
          <w:b/>
        </w:rPr>
        <w:t>61</w:t>
      </w:r>
      <w:r w:rsidR="002D2405" w:rsidRPr="000E2ADE">
        <w:rPr>
          <w:color w:val="FF0000"/>
        </w:rPr>
        <w:t xml:space="preserve"> </w:t>
      </w:r>
      <w:r w:rsidR="009415BF">
        <w:t xml:space="preserve">for </w:t>
      </w:r>
      <w:r w:rsidR="004E7EC7" w:rsidRPr="004E7EC7">
        <w:rPr>
          <w:b/>
        </w:rPr>
        <w:t xml:space="preserve">AACN/Benchworks </w:t>
      </w:r>
    </w:p>
    <w:p w14:paraId="76CC95F3" w14:textId="41D3BB43" w:rsidR="004E7EC7" w:rsidRDefault="004E7EC7" w:rsidP="004E7EC7">
      <w:pPr>
        <w:ind w:left="720" w:hanging="720"/>
      </w:pPr>
      <w:r w:rsidRPr="004E7EC7">
        <w:rPr>
          <w:b/>
        </w:rPr>
        <w:t>Undergraduate and MSN Exit Assessments</w:t>
      </w:r>
      <w:r w:rsidR="002D2B69" w:rsidRPr="004A46C1">
        <w:t>, please be advised that UMMC intends to award</w:t>
      </w:r>
    </w:p>
    <w:p w14:paraId="1D14924B" w14:textId="21A17E38" w:rsidR="004E7EC7" w:rsidRDefault="002D2B69" w:rsidP="004E7EC7">
      <w:pPr>
        <w:ind w:left="720" w:hanging="720"/>
      </w:pPr>
      <w:r w:rsidRPr="004A46C1">
        <w:t xml:space="preserve">the purchase of </w:t>
      </w:r>
      <w:r w:rsidR="0001425C" w:rsidRPr="000A396E">
        <w:t xml:space="preserve">the </w:t>
      </w:r>
      <w:r w:rsidR="004E7EC7" w:rsidRPr="004E7EC7">
        <w:rPr>
          <w:b/>
        </w:rPr>
        <w:t>AACN/Benchworks Undergraduate and MSN Exit Assessments</w:t>
      </w:r>
    </w:p>
    <w:p w14:paraId="5AF9CDB8" w14:textId="77777777" w:rsidR="004E7EC7" w:rsidRDefault="002D2B69" w:rsidP="004E7EC7">
      <w:pPr>
        <w:ind w:left="720" w:hanging="720"/>
        <w:rPr>
          <w:b/>
        </w:rPr>
      </w:pPr>
      <w:proofErr w:type="gramStart"/>
      <w:r w:rsidRPr="004A46C1">
        <w:t>to</w:t>
      </w:r>
      <w:proofErr w:type="gramEnd"/>
      <w:r w:rsidRPr="004A46C1">
        <w:t xml:space="preserve"> </w:t>
      </w:r>
      <w:r w:rsidR="004E7EC7">
        <w:rPr>
          <w:b/>
        </w:rPr>
        <w:t>Skyfactor, Inc.,</w:t>
      </w:r>
      <w:r w:rsidR="009D150D" w:rsidRPr="002D2405">
        <w:rPr>
          <w:color w:val="FF0000"/>
        </w:rPr>
        <w:t xml:space="preserve"> </w:t>
      </w:r>
      <w:r w:rsidRPr="004A46C1">
        <w:t xml:space="preserve">as the sole source provider of </w:t>
      </w:r>
      <w:r w:rsidR="0001425C" w:rsidRPr="000A396E">
        <w:t xml:space="preserve">the </w:t>
      </w:r>
      <w:r w:rsidR="004E7EC7" w:rsidRPr="004E7EC7">
        <w:rPr>
          <w:b/>
        </w:rPr>
        <w:t>AACN/Benchworks Undergraduate and</w:t>
      </w:r>
    </w:p>
    <w:p w14:paraId="4120E373" w14:textId="3C55F2DF" w:rsidR="002D2B69" w:rsidRDefault="004E7EC7" w:rsidP="004E7EC7">
      <w:pPr>
        <w:ind w:left="720" w:hanging="720"/>
      </w:pPr>
      <w:r w:rsidRPr="004E7EC7">
        <w:rPr>
          <w:b/>
        </w:rPr>
        <w:t>MSN Exit Assessments</w:t>
      </w:r>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7D2CDA1B" w:rsidR="002D2B69" w:rsidRPr="007A274F" w:rsidRDefault="000F7174" w:rsidP="006F31B1">
            <w:r>
              <w:t>May 1</w:t>
            </w:r>
            <w:r w:rsidR="00026285">
              <w:t>,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3EF3373E" w:rsidR="002D2B69" w:rsidRPr="007A274F" w:rsidRDefault="000F7174" w:rsidP="006F31B1">
            <w:r>
              <w:t>May 8</w:t>
            </w:r>
            <w:r w:rsidR="00026285">
              <w:t>, 2018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06AA2451" w:rsidR="002D2B69" w:rsidRPr="007A274F" w:rsidRDefault="000F7174" w:rsidP="006A18D5">
            <w:r>
              <w:t>May 15</w:t>
            </w:r>
            <w:r w:rsidR="00026285">
              <w:t>, 2018</w:t>
            </w:r>
            <w:r w:rsidR="002D2B69" w:rsidRPr="007A274F">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5288DB9B" w:rsidR="002D2B69" w:rsidRPr="007A274F" w:rsidRDefault="002D2B69" w:rsidP="000F7174">
            <w:r w:rsidRPr="007A274F">
              <w:t xml:space="preserve">Not before </w:t>
            </w:r>
            <w:r w:rsidR="000F7174">
              <w:t>May 15</w:t>
            </w:r>
            <w:r w:rsidR="00026285">
              <w:t>, 2018</w:t>
            </w:r>
          </w:p>
        </w:tc>
      </w:tr>
    </w:tbl>
    <w:p w14:paraId="42615275" w14:textId="77777777" w:rsidR="00397B6F" w:rsidRDefault="00397B6F" w:rsidP="002D2B69">
      <w:pPr>
        <w:rPr>
          <w:b/>
        </w:rPr>
      </w:pPr>
    </w:p>
    <w:p w14:paraId="48C1FF13" w14:textId="7F2ED2FE"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4829A7F8" w14:textId="5D6FD02D" w:rsidR="004E7EC7" w:rsidRDefault="004E7EC7" w:rsidP="004E7EC7">
      <w:pPr>
        <w:pStyle w:val="BodyText"/>
        <w:kinsoku w:val="0"/>
        <w:overflowPunct w:val="0"/>
        <w:spacing w:before="89" w:line="264" w:lineRule="auto"/>
        <w:ind w:left="837" w:right="313"/>
      </w:pPr>
      <w:r>
        <w:rPr>
          <w:w w:val="105"/>
        </w:rPr>
        <w:t>Skyfactor</w:t>
      </w:r>
      <w:r>
        <w:rPr>
          <w:spacing w:val="24"/>
          <w:w w:val="105"/>
        </w:rPr>
        <w:t xml:space="preserve"> </w:t>
      </w:r>
      <w:r>
        <w:rPr>
          <w:w w:val="105"/>
        </w:rPr>
        <w:t>shall</w:t>
      </w:r>
      <w:r>
        <w:rPr>
          <w:spacing w:val="20"/>
          <w:w w:val="105"/>
        </w:rPr>
        <w:t xml:space="preserve"> </w:t>
      </w:r>
      <w:r>
        <w:rPr>
          <w:w w:val="105"/>
        </w:rPr>
        <w:t>render</w:t>
      </w:r>
      <w:r>
        <w:rPr>
          <w:spacing w:val="12"/>
          <w:w w:val="105"/>
        </w:rPr>
        <w:t xml:space="preserve"> </w:t>
      </w:r>
      <w:r>
        <w:rPr>
          <w:w w:val="105"/>
        </w:rPr>
        <w:t>certain</w:t>
      </w:r>
      <w:r>
        <w:rPr>
          <w:spacing w:val="25"/>
          <w:w w:val="105"/>
        </w:rPr>
        <w:t xml:space="preserve"> </w:t>
      </w:r>
      <w:r>
        <w:rPr>
          <w:w w:val="105"/>
        </w:rPr>
        <w:t>surveying,</w:t>
      </w:r>
      <w:r>
        <w:rPr>
          <w:spacing w:val="43"/>
          <w:w w:val="105"/>
        </w:rPr>
        <w:t xml:space="preserve"> </w:t>
      </w:r>
      <w:r>
        <w:rPr>
          <w:w w:val="105"/>
        </w:rPr>
        <w:t>assessment,</w:t>
      </w:r>
      <w:r>
        <w:rPr>
          <w:spacing w:val="49"/>
          <w:w w:val="105"/>
        </w:rPr>
        <w:t xml:space="preserve"> </w:t>
      </w:r>
      <w:r>
        <w:rPr>
          <w:w w:val="105"/>
        </w:rPr>
        <w:t>analysis,</w:t>
      </w:r>
      <w:r w:rsidR="00F350EF">
        <w:rPr>
          <w:spacing w:val="19"/>
          <w:w w:val="105"/>
        </w:rPr>
        <w:t xml:space="preserve"> </w:t>
      </w:r>
      <w:r w:rsidR="00E34E12">
        <w:rPr>
          <w:w w:val="105"/>
        </w:rPr>
        <w:t>and benchmarking</w:t>
      </w:r>
      <w:r>
        <w:rPr>
          <w:w w:val="105"/>
        </w:rPr>
        <w:t>,</w:t>
      </w:r>
      <w:r>
        <w:rPr>
          <w:spacing w:val="-59"/>
          <w:w w:val="105"/>
        </w:rPr>
        <w:t xml:space="preserve"> </w:t>
      </w:r>
      <w:r>
        <w:rPr>
          <w:w w:val="105"/>
        </w:rPr>
        <w:t>reporting and related services to the School of Nursing.</w:t>
      </w:r>
    </w:p>
    <w:p w14:paraId="4197EC04" w14:textId="627D48EA" w:rsidR="00DC566D" w:rsidRPr="006B61DB" w:rsidRDefault="00923482"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10648BEA" w14:textId="7C583E76" w:rsidR="004E7EC7" w:rsidRDefault="004E7EC7" w:rsidP="004E7EC7">
      <w:pPr>
        <w:pStyle w:val="BodyText"/>
        <w:kinsoku w:val="0"/>
        <w:overflowPunct w:val="0"/>
        <w:spacing w:before="45" w:line="256" w:lineRule="auto"/>
        <w:ind w:left="720" w:right="313"/>
      </w:pPr>
      <w:r>
        <w:rPr>
          <w:w w:val="105"/>
        </w:rPr>
        <w:t>Skyfactor</w:t>
      </w:r>
      <w:r>
        <w:rPr>
          <w:spacing w:val="15"/>
          <w:w w:val="105"/>
        </w:rPr>
        <w:t xml:space="preserve"> </w:t>
      </w:r>
      <w:r>
        <w:rPr>
          <w:w w:val="105"/>
        </w:rPr>
        <w:t>and</w:t>
      </w:r>
      <w:r>
        <w:rPr>
          <w:spacing w:val="8"/>
          <w:w w:val="105"/>
        </w:rPr>
        <w:t xml:space="preserve"> </w:t>
      </w:r>
      <w:r>
        <w:rPr>
          <w:w w:val="105"/>
        </w:rPr>
        <w:t>SON</w:t>
      </w:r>
      <w:r>
        <w:rPr>
          <w:spacing w:val="13"/>
          <w:w w:val="105"/>
        </w:rPr>
        <w:t xml:space="preserve"> </w:t>
      </w:r>
      <w:r>
        <w:rPr>
          <w:w w:val="105"/>
        </w:rPr>
        <w:t>agree</w:t>
      </w:r>
      <w:r>
        <w:rPr>
          <w:spacing w:val="16"/>
          <w:w w:val="105"/>
        </w:rPr>
        <w:t xml:space="preserve"> </w:t>
      </w:r>
      <w:r>
        <w:rPr>
          <w:w w:val="105"/>
        </w:rPr>
        <w:t>to</w:t>
      </w:r>
      <w:r>
        <w:rPr>
          <w:spacing w:val="20"/>
          <w:w w:val="105"/>
        </w:rPr>
        <w:t xml:space="preserve"> </w:t>
      </w:r>
      <w:r>
        <w:rPr>
          <w:w w:val="105"/>
        </w:rPr>
        <w:t>keep</w:t>
      </w:r>
      <w:r>
        <w:rPr>
          <w:spacing w:val="5"/>
          <w:w w:val="105"/>
        </w:rPr>
        <w:t xml:space="preserve"> </w:t>
      </w:r>
      <w:r>
        <w:rPr>
          <w:w w:val="105"/>
        </w:rPr>
        <w:t>such</w:t>
      </w:r>
      <w:r>
        <w:rPr>
          <w:spacing w:val="21"/>
          <w:w w:val="105"/>
        </w:rPr>
        <w:t xml:space="preserve"> </w:t>
      </w:r>
      <w:r>
        <w:rPr>
          <w:w w:val="105"/>
        </w:rPr>
        <w:t>Personally</w:t>
      </w:r>
      <w:r>
        <w:rPr>
          <w:spacing w:val="28"/>
          <w:w w:val="105"/>
        </w:rPr>
        <w:t xml:space="preserve"> </w:t>
      </w:r>
      <w:r>
        <w:rPr>
          <w:w w:val="105"/>
        </w:rPr>
        <w:t>Identifiable</w:t>
      </w:r>
      <w:r>
        <w:rPr>
          <w:spacing w:val="13"/>
          <w:w w:val="105"/>
        </w:rPr>
        <w:t xml:space="preserve"> </w:t>
      </w:r>
      <w:r>
        <w:rPr>
          <w:w w:val="105"/>
        </w:rPr>
        <w:t>Information</w:t>
      </w:r>
      <w:r>
        <w:rPr>
          <w:spacing w:val="-39"/>
          <w:w w:val="105"/>
        </w:rPr>
        <w:t xml:space="preserve"> </w:t>
      </w:r>
      <w:bookmarkStart w:id="0" w:name="_GoBack"/>
      <w:bookmarkEnd w:id="0"/>
      <w:r>
        <w:rPr>
          <w:w w:val="105"/>
        </w:rPr>
        <w:t>confidential</w:t>
      </w:r>
      <w:r>
        <w:rPr>
          <w:spacing w:val="31"/>
          <w:w w:val="105"/>
        </w:rPr>
        <w:t xml:space="preserve"> </w:t>
      </w:r>
      <w:r>
        <w:rPr>
          <w:w w:val="105"/>
        </w:rPr>
        <w:t>and</w:t>
      </w:r>
      <w:r>
        <w:rPr>
          <w:spacing w:val="5"/>
          <w:w w:val="105"/>
        </w:rPr>
        <w:t xml:space="preserve"> </w:t>
      </w:r>
      <w:r>
        <w:rPr>
          <w:w w:val="105"/>
        </w:rPr>
        <w:t>to</w:t>
      </w:r>
      <w:r>
        <w:rPr>
          <w:spacing w:val="15"/>
          <w:w w:val="105"/>
        </w:rPr>
        <w:t xml:space="preserve"> </w:t>
      </w:r>
      <w:r>
        <w:rPr>
          <w:w w:val="105"/>
        </w:rPr>
        <w:t>handle</w:t>
      </w:r>
      <w:r>
        <w:rPr>
          <w:spacing w:val="11"/>
          <w:w w:val="105"/>
        </w:rPr>
        <w:t xml:space="preserve"> </w:t>
      </w:r>
      <w:r>
        <w:rPr>
          <w:w w:val="105"/>
        </w:rPr>
        <w:t>such</w:t>
      </w:r>
      <w:r>
        <w:rPr>
          <w:spacing w:val="18"/>
          <w:w w:val="105"/>
        </w:rPr>
        <w:t xml:space="preserve"> </w:t>
      </w:r>
      <w:r>
        <w:rPr>
          <w:w w:val="105"/>
        </w:rPr>
        <w:t>information</w:t>
      </w:r>
      <w:r>
        <w:rPr>
          <w:spacing w:val="25"/>
          <w:w w:val="105"/>
        </w:rPr>
        <w:t xml:space="preserve"> </w:t>
      </w:r>
      <w:r>
        <w:rPr>
          <w:w w:val="105"/>
        </w:rPr>
        <w:t>in</w:t>
      </w:r>
      <w:r>
        <w:rPr>
          <w:spacing w:val="2"/>
          <w:w w:val="105"/>
        </w:rPr>
        <w:t xml:space="preserve"> </w:t>
      </w:r>
      <w:r>
        <w:rPr>
          <w:w w:val="105"/>
        </w:rPr>
        <w:t>accordance</w:t>
      </w:r>
      <w:r>
        <w:rPr>
          <w:spacing w:val="20"/>
          <w:w w:val="105"/>
        </w:rPr>
        <w:t xml:space="preserve"> </w:t>
      </w:r>
      <w:r>
        <w:rPr>
          <w:w w:val="105"/>
        </w:rPr>
        <w:t>with</w:t>
      </w:r>
      <w:r>
        <w:rPr>
          <w:spacing w:val="14"/>
          <w:w w:val="105"/>
        </w:rPr>
        <w:t xml:space="preserve"> </w:t>
      </w:r>
      <w:r>
        <w:rPr>
          <w:w w:val="105"/>
        </w:rPr>
        <w:t>the</w:t>
      </w:r>
      <w:r>
        <w:rPr>
          <w:spacing w:val="26"/>
          <w:w w:val="105"/>
        </w:rPr>
        <w:t xml:space="preserve"> </w:t>
      </w:r>
      <w:r>
        <w:rPr>
          <w:w w:val="105"/>
        </w:rPr>
        <w:t>requirements</w:t>
      </w:r>
      <w:r>
        <w:rPr>
          <w:spacing w:val="-46"/>
          <w:w w:val="105"/>
        </w:rPr>
        <w:t xml:space="preserve"> </w:t>
      </w:r>
      <w:r>
        <w:rPr>
          <w:w w:val="105"/>
        </w:rPr>
        <w:t>of</w:t>
      </w:r>
      <w:r>
        <w:rPr>
          <w:spacing w:val="16"/>
          <w:w w:val="105"/>
        </w:rPr>
        <w:t xml:space="preserve"> </w:t>
      </w:r>
      <w:r>
        <w:rPr>
          <w:w w:val="105"/>
        </w:rPr>
        <w:t>FERPA,</w:t>
      </w:r>
      <w:r>
        <w:rPr>
          <w:spacing w:val="8"/>
          <w:w w:val="105"/>
        </w:rPr>
        <w:t xml:space="preserve"> </w:t>
      </w:r>
      <w:r>
        <w:rPr>
          <w:w w:val="105"/>
        </w:rPr>
        <w:t>including,</w:t>
      </w:r>
      <w:r>
        <w:rPr>
          <w:spacing w:val="8"/>
          <w:w w:val="105"/>
        </w:rPr>
        <w:t xml:space="preserve"> </w:t>
      </w:r>
      <w:r>
        <w:rPr>
          <w:w w:val="105"/>
        </w:rPr>
        <w:t>where</w:t>
      </w:r>
      <w:r>
        <w:rPr>
          <w:spacing w:val="19"/>
          <w:w w:val="105"/>
        </w:rPr>
        <w:t xml:space="preserve"> </w:t>
      </w:r>
      <w:r>
        <w:rPr>
          <w:w w:val="105"/>
        </w:rPr>
        <w:t>applicable:</w:t>
      </w:r>
      <w:r>
        <w:rPr>
          <w:spacing w:val="29"/>
          <w:w w:val="105"/>
        </w:rPr>
        <w:t xml:space="preserve"> </w:t>
      </w:r>
      <w:r>
        <w:rPr>
          <w:w w:val="105"/>
        </w:rPr>
        <w:t>(i)</w:t>
      </w:r>
      <w:r>
        <w:rPr>
          <w:spacing w:val="2"/>
          <w:w w:val="105"/>
        </w:rPr>
        <w:t xml:space="preserve"> </w:t>
      </w:r>
      <w:r>
        <w:rPr>
          <w:w w:val="105"/>
        </w:rPr>
        <w:t>to</w:t>
      </w:r>
      <w:r>
        <w:rPr>
          <w:spacing w:val="19"/>
          <w:w w:val="105"/>
        </w:rPr>
        <w:t xml:space="preserve"> </w:t>
      </w:r>
      <w:r>
        <w:rPr>
          <w:w w:val="105"/>
        </w:rPr>
        <w:t>use</w:t>
      </w:r>
      <w:r>
        <w:rPr>
          <w:spacing w:val="3"/>
          <w:w w:val="105"/>
        </w:rPr>
        <w:t xml:space="preserve"> </w:t>
      </w:r>
      <w:r>
        <w:rPr>
          <w:w w:val="105"/>
        </w:rPr>
        <w:t>such</w:t>
      </w:r>
      <w:r>
        <w:rPr>
          <w:spacing w:val="14"/>
          <w:w w:val="105"/>
        </w:rPr>
        <w:t xml:space="preserve"> </w:t>
      </w:r>
      <w:r>
        <w:rPr>
          <w:w w:val="105"/>
        </w:rPr>
        <w:t>information</w:t>
      </w:r>
      <w:r>
        <w:rPr>
          <w:spacing w:val="19"/>
          <w:w w:val="105"/>
        </w:rPr>
        <w:t xml:space="preserve"> </w:t>
      </w:r>
      <w:r>
        <w:rPr>
          <w:w w:val="105"/>
        </w:rPr>
        <w:t>only</w:t>
      </w:r>
      <w:r>
        <w:rPr>
          <w:spacing w:val="11"/>
          <w:w w:val="105"/>
        </w:rPr>
        <w:t xml:space="preserve"> </w:t>
      </w:r>
      <w:r>
        <w:rPr>
          <w:w w:val="105"/>
        </w:rPr>
        <w:t>for</w:t>
      </w:r>
      <w:r>
        <w:rPr>
          <w:spacing w:val="12"/>
          <w:w w:val="105"/>
        </w:rPr>
        <w:t xml:space="preserve"> </w:t>
      </w:r>
      <w:r>
        <w:rPr>
          <w:w w:val="105"/>
        </w:rPr>
        <w:t>the</w:t>
      </w:r>
      <w:r>
        <w:rPr>
          <w:spacing w:val="-49"/>
          <w:w w:val="105"/>
        </w:rPr>
        <w:t xml:space="preserve"> </w:t>
      </w:r>
      <w:r>
        <w:rPr>
          <w:w w:val="105"/>
        </w:rPr>
        <w:t>purposes</w:t>
      </w:r>
      <w:r>
        <w:rPr>
          <w:spacing w:val="5"/>
          <w:w w:val="105"/>
        </w:rPr>
        <w:t xml:space="preserve"> </w:t>
      </w:r>
      <w:r>
        <w:rPr>
          <w:w w:val="105"/>
        </w:rPr>
        <w:t>set</w:t>
      </w:r>
      <w:r>
        <w:rPr>
          <w:spacing w:val="-2"/>
          <w:w w:val="105"/>
        </w:rPr>
        <w:t xml:space="preserve"> </w:t>
      </w:r>
      <w:r>
        <w:rPr>
          <w:w w:val="105"/>
        </w:rPr>
        <w:t>forth</w:t>
      </w:r>
      <w:r>
        <w:rPr>
          <w:spacing w:val="19"/>
          <w:w w:val="105"/>
        </w:rPr>
        <w:t xml:space="preserve"> </w:t>
      </w:r>
      <w:r>
        <w:rPr>
          <w:w w:val="105"/>
        </w:rPr>
        <w:t>herein;</w:t>
      </w:r>
      <w:r>
        <w:rPr>
          <w:spacing w:val="21"/>
          <w:w w:val="105"/>
        </w:rPr>
        <w:t xml:space="preserve"> </w:t>
      </w:r>
      <w:r>
        <w:rPr>
          <w:w w:val="105"/>
        </w:rPr>
        <w:t>(ii)</w:t>
      </w:r>
      <w:r>
        <w:rPr>
          <w:spacing w:val="5"/>
          <w:w w:val="105"/>
        </w:rPr>
        <w:t xml:space="preserve"> </w:t>
      </w:r>
      <w:r>
        <w:rPr>
          <w:w w:val="105"/>
        </w:rPr>
        <w:t>to</w:t>
      </w:r>
      <w:r>
        <w:rPr>
          <w:spacing w:val="14"/>
          <w:w w:val="105"/>
        </w:rPr>
        <w:t xml:space="preserve"> </w:t>
      </w:r>
      <w:r>
        <w:rPr>
          <w:w w:val="105"/>
        </w:rPr>
        <w:t>refrain</w:t>
      </w:r>
      <w:r>
        <w:rPr>
          <w:spacing w:val="12"/>
          <w:w w:val="105"/>
        </w:rPr>
        <w:t xml:space="preserve"> </w:t>
      </w:r>
      <w:r>
        <w:rPr>
          <w:w w:val="105"/>
        </w:rPr>
        <w:t>from</w:t>
      </w:r>
      <w:r>
        <w:rPr>
          <w:spacing w:val="23"/>
          <w:w w:val="105"/>
        </w:rPr>
        <w:t xml:space="preserve"> </w:t>
      </w:r>
      <w:r>
        <w:rPr>
          <w:w w:val="105"/>
        </w:rPr>
        <w:t>disclosure</w:t>
      </w:r>
      <w:r>
        <w:rPr>
          <w:spacing w:val="23"/>
          <w:w w:val="105"/>
        </w:rPr>
        <w:t xml:space="preserve"> </w:t>
      </w:r>
      <w:r>
        <w:rPr>
          <w:w w:val="105"/>
        </w:rPr>
        <w:t>of</w:t>
      </w:r>
      <w:r>
        <w:rPr>
          <w:spacing w:val="4"/>
          <w:w w:val="105"/>
        </w:rPr>
        <w:t xml:space="preserve"> </w:t>
      </w:r>
      <w:r>
        <w:rPr>
          <w:w w:val="105"/>
        </w:rPr>
        <w:t>such</w:t>
      </w:r>
      <w:r>
        <w:rPr>
          <w:spacing w:val="27"/>
          <w:w w:val="105"/>
        </w:rPr>
        <w:t xml:space="preserve"> </w:t>
      </w:r>
      <w:r>
        <w:rPr>
          <w:w w:val="105"/>
        </w:rPr>
        <w:t>information</w:t>
      </w:r>
      <w:r>
        <w:rPr>
          <w:spacing w:val="17"/>
          <w:w w:val="105"/>
        </w:rPr>
        <w:t xml:space="preserve"> </w:t>
      </w:r>
      <w:r>
        <w:rPr>
          <w:w w:val="105"/>
        </w:rPr>
        <w:t>to</w:t>
      </w:r>
      <w:r>
        <w:rPr>
          <w:spacing w:val="6"/>
          <w:w w:val="105"/>
        </w:rPr>
        <w:t xml:space="preserve"> </w:t>
      </w:r>
      <w:r>
        <w:rPr>
          <w:w w:val="105"/>
        </w:rPr>
        <w:t>any</w:t>
      </w:r>
      <w:r>
        <w:rPr>
          <w:w w:val="105"/>
        </w:rPr>
        <w:t xml:space="preserve"> </w:t>
      </w:r>
      <w:r>
        <w:rPr>
          <w:spacing w:val="-56"/>
          <w:w w:val="105"/>
        </w:rPr>
        <w:t xml:space="preserve"> </w:t>
      </w:r>
      <w:r>
        <w:rPr>
          <w:w w:val="105"/>
        </w:rPr>
        <w:t>party</w:t>
      </w:r>
      <w:r>
        <w:rPr>
          <w:spacing w:val="-4"/>
          <w:w w:val="105"/>
        </w:rPr>
        <w:t xml:space="preserve"> </w:t>
      </w:r>
      <w:r>
        <w:rPr>
          <w:w w:val="105"/>
        </w:rPr>
        <w:t>who</w:t>
      </w:r>
      <w:r>
        <w:rPr>
          <w:spacing w:val="20"/>
          <w:w w:val="105"/>
        </w:rPr>
        <w:t xml:space="preserve"> </w:t>
      </w:r>
      <w:r>
        <w:rPr>
          <w:w w:val="105"/>
        </w:rPr>
        <w:t>does</w:t>
      </w:r>
      <w:r>
        <w:rPr>
          <w:spacing w:val="21"/>
          <w:w w:val="105"/>
        </w:rPr>
        <w:t xml:space="preserve"> </w:t>
      </w:r>
      <w:r>
        <w:rPr>
          <w:w w:val="105"/>
        </w:rPr>
        <w:t>not</w:t>
      </w:r>
      <w:r>
        <w:rPr>
          <w:spacing w:val="1"/>
          <w:w w:val="105"/>
        </w:rPr>
        <w:t xml:space="preserve"> </w:t>
      </w:r>
      <w:r>
        <w:rPr>
          <w:w w:val="105"/>
        </w:rPr>
        <w:t>have</w:t>
      </w:r>
      <w:r>
        <w:rPr>
          <w:spacing w:val="6"/>
          <w:w w:val="105"/>
        </w:rPr>
        <w:t xml:space="preserve"> </w:t>
      </w:r>
      <w:r>
        <w:rPr>
          <w:w w:val="105"/>
        </w:rPr>
        <w:t>a</w:t>
      </w:r>
      <w:r>
        <w:rPr>
          <w:spacing w:val="13"/>
          <w:w w:val="105"/>
        </w:rPr>
        <w:t xml:space="preserve"> </w:t>
      </w:r>
      <w:r>
        <w:rPr>
          <w:w w:val="105"/>
        </w:rPr>
        <w:t>legitimate</w:t>
      </w:r>
      <w:r>
        <w:rPr>
          <w:spacing w:val="11"/>
          <w:w w:val="105"/>
        </w:rPr>
        <w:t xml:space="preserve"> </w:t>
      </w:r>
      <w:r>
        <w:rPr>
          <w:w w:val="105"/>
        </w:rPr>
        <w:t>interest</w:t>
      </w:r>
      <w:r>
        <w:rPr>
          <w:spacing w:val="12"/>
          <w:w w:val="105"/>
        </w:rPr>
        <w:t xml:space="preserve"> </w:t>
      </w:r>
      <w:r>
        <w:rPr>
          <w:w w:val="105"/>
        </w:rPr>
        <w:t>in</w:t>
      </w:r>
      <w:r>
        <w:rPr>
          <w:spacing w:val="-1"/>
          <w:w w:val="105"/>
        </w:rPr>
        <w:t xml:space="preserve"> </w:t>
      </w:r>
      <w:r>
        <w:rPr>
          <w:w w:val="105"/>
        </w:rPr>
        <w:t>such</w:t>
      </w:r>
      <w:r>
        <w:rPr>
          <w:spacing w:val="15"/>
          <w:w w:val="105"/>
        </w:rPr>
        <w:t xml:space="preserve"> </w:t>
      </w:r>
      <w:r>
        <w:rPr>
          <w:w w:val="105"/>
        </w:rPr>
        <w:t>information;</w:t>
      </w:r>
      <w:r>
        <w:rPr>
          <w:spacing w:val="18"/>
          <w:w w:val="105"/>
        </w:rPr>
        <w:t xml:space="preserve"> </w:t>
      </w:r>
      <w:r>
        <w:rPr>
          <w:w w:val="105"/>
        </w:rPr>
        <w:t>and</w:t>
      </w:r>
      <w:r>
        <w:rPr>
          <w:spacing w:val="17"/>
          <w:w w:val="105"/>
        </w:rPr>
        <w:t xml:space="preserve"> </w:t>
      </w:r>
      <w:r>
        <w:rPr>
          <w:w w:val="105"/>
        </w:rPr>
        <w:t>(iii)</w:t>
      </w:r>
      <w:r>
        <w:rPr>
          <w:spacing w:val="6"/>
          <w:w w:val="105"/>
        </w:rPr>
        <w:t xml:space="preserve"> </w:t>
      </w:r>
      <w:r>
        <w:rPr>
          <w:w w:val="105"/>
        </w:rPr>
        <w:t>to</w:t>
      </w:r>
      <w:r>
        <w:rPr>
          <w:spacing w:val="-27"/>
          <w:w w:val="105"/>
        </w:rPr>
        <w:t xml:space="preserve"> </w:t>
      </w:r>
      <w:r>
        <w:rPr>
          <w:w w:val="105"/>
        </w:rPr>
        <w:t>"destroy" the name and e-mail address of any student of the Participant within</w:t>
      </w:r>
      <w:r>
        <w:rPr>
          <w:spacing w:val="27"/>
          <w:w w:val="105"/>
        </w:rPr>
        <w:t xml:space="preserve"> </w:t>
      </w:r>
      <w:r>
        <w:rPr>
          <w:w w:val="105"/>
        </w:rPr>
        <w:t>18</w:t>
      </w:r>
      <w:r>
        <w:rPr>
          <w:w w:val="109"/>
        </w:rPr>
        <w:t xml:space="preserve"> </w:t>
      </w:r>
      <w:r>
        <w:rPr>
          <w:w w:val="105"/>
        </w:rPr>
        <w:t xml:space="preserve">months after the Survey </w:t>
      </w:r>
      <w:r>
        <w:rPr>
          <w:spacing w:val="10"/>
          <w:w w:val="105"/>
        </w:rPr>
        <w:t xml:space="preserve"> </w:t>
      </w:r>
      <w:r>
        <w:rPr>
          <w:w w:val="105"/>
        </w:rPr>
        <w:t>Period.</w:t>
      </w:r>
    </w:p>
    <w:p w14:paraId="399193B0" w14:textId="77777777" w:rsidR="00AA70D0" w:rsidRDefault="00AA70D0"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69D483AE" w14:textId="267E24CE" w:rsidR="00026285" w:rsidRDefault="00026285" w:rsidP="00923482">
      <w:pPr>
        <w:pStyle w:val="PlainText"/>
        <w:ind w:left="720"/>
        <w:jc w:val="both"/>
        <w:rPr>
          <w:rFonts w:ascii="Times New Roman" w:hAnsi="Times New Roman" w:cs="Times New Roman"/>
          <w:sz w:val="24"/>
          <w:szCs w:val="24"/>
        </w:rPr>
      </w:pPr>
    </w:p>
    <w:p w14:paraId="2738571A" w14:textId="5383A631" w:rsidR="004E7EC7" w:rsidRDefault="004E7EC7" w:rsidP="004E7EC7">
      <w:pPr>
        <w:pStyle w:val="BodyText"/>
        <w:kinsoku w:val="0"/>
        <w:overflowPunct w:val="0"/>
        <w:spacing w:before="82" w:line="261" w:lineRule="auto"/>
        <w:ind w:left="830" w:right="542"/>
      </w:pPr>
      <w:r>
        <w:rPr>
          <w:w w:val="105"/>
        </w:rPr>
        <w:t xml:space="preserve">Skyfactor assessments provide nursing professionals the information </w:t>
      </w:r>
      <w:r>
        <w:rPr>
          <w:w w:val="105"/>
        </w:rPr>
        <w:t xml:space="preserve">they </w:t>
      </w:r>
      <w:r>
        <w:rPr>
          <w:spacing w:val="15"/>
          <w:w w:val="105"/>
        </w:rPr>
        <w:t>need</w:t>
      </w:r>
      <w:r>
        <w:rPr>
          <w:w w:val="107"/>
        </w:rPr>
        <w:t xml:space="preserve"> </w:t>
      </w:r>
      <w:r>
        <w:rPr>
          <w:w w:val="105"/>
        </w:rPr>
        <w:t>to</w:t>
      </w:r>
      <w:r>
        <w:rPr>
          <w:spacing w:val="17"/>
          <w:w w:val="105"/>
        </w:rPr>
        <w:t xml:space="preserve"> </w:t>
      </w:r>
      <w:r>
        <w:rPr>
          <w:w w:val="105"/>
        </w:rPr>
        <w:t>evaluate</w:t>
      </w:r>
      <w:r>
        <w:rPr>
          <w:spacing w:val="27"/>
          <w:w w:val="105"/>
        </w:rPr>
        <w:t xml:space="preserve"> </w:t>
      </w:r>
      <w:r>
        <w:rPr>
          <w:w w:val="105"/>
        </w:rPr>
        <w:t>performance,</w:t>
      </w:r>
      <w:r>
        <w:rPr>
          <w:spacing w:val="32"/>
          <w:w w:val="105"/>
        </w:rPr>
        <w:t xml:space="preserve"> </w:t>
      </w:r>
      <w:r>
        <w:rPr>
          <w:w w:val="105"/>
        </w:rPr>
        <w:t>identify</w:t>
      </w:r>
      <w:r>
        <w:rPr>
          <w:spacing w:val="10"/>
          <w:w w:val="105"/>
        </w:rPr>
        <w:t xml:space="preserve"> </w:t>
      </w:r>
      <w:r>
        <w:rPr>
          <w:w w:val="105"/>
        </w:rPr>
        <w:t>their</w:t>
      </w:r>
      <w:r>
        <w:rPr>
          <w:spacing w:val="6"/>
          <w:w w:val="105"/>
        </w:rPr>
        <w:t xml:space="preserve"> </w:t>
      </w:r>
      <w:r>
        <w:rPr>
          <w:w w:val="105"/>
        </w:rPr>
        <w:t>contributions</w:t>
      </w:r>
      <w:r>
        <w:rPr>
          <w:spacing w:val="13"/>
          <w:w w:val="105"/>
        </w:rPr>
        <w:t xml:space="preserve"> </w:t>
      </w:r>
      <w:r>
        <w:rPr>
          <w:w w:val="105"/>
        </w:rPr>
        <w:t>to</w:t>
      </w:r>
      <w:r>
        <w:rPr>
          <w:spacing w:val="17"/>
          <w:w w:val="105"/>
        </w:rPr>
        <w:t xml:space="preserve"> </w:t>
      </w:r>
      <w:r>
        <w:rPr>
          <w:w w:val="105"/>
        </w:rPr>
        <w:t>professional</w:t>
      </w:r>
      <w:r>
        <w:rPr>
          <w:spacing w:val="28"/>
          <w:w w:val="105"/>
        </w:rPr>
        <w:t xml:space="preserve"> </w:t>
      </w:r>
      <w:r>
        <w:rPr>
          <w:w w:val="105"/>
        </w:rPr>
        <w:t>standards</w:t>
      </w:r>
      <w:r>
        <w:rPr>
          <w:spacing w:val="-35"/>
          <w:w w:val="105"/>
        </w:rPr>
        <w:t xml:space="preserve"> </w:t>
      </w:r>
      <w:r>
        <w:rPr>
          <w:w w:val="105"/>
        </w:rPr>
        <w:t xml:space="preserve">and the greater institutional mission, and drive continuous  </w:t>
      </w:r>
      <w:r>
        <w:rPr>
          <w:spacing w:val="32"/>
          <w:w w:val="105"/>
        </w:rPr>
        <w:t xml:space="preserve"> </w:t>
      </w:r>
      <w:r>
        <w:rPr>
          <w:w w:val="105"/>
        </w:rPr>
        <w:t>improvement.</w:t>
      </w:r>
      <w:r>
        <w:rPr>
          <w:w w:val="105"/>
        </w:rPr>
        <w:t xml:space="preserve"> </w:t>
      </w:r>
      <w:r>
        <w:rPr>
          <w:w w:val="105"/>
        </w:rPr>
        <w:t>Skyfactor and AACN are the sole vendors offering the following</w:t>
      </w:r>
      <w:r>
        <w:rPr>
          <w:spacing w:val="58"/>
          <w:w w:val="105"/>
        </w:rPr>
        <w:t xml:space="preserve"> </w:t>
      </w:r>
      <w:r>
        <w:rPr>
          <w:w w:val="105"/>
        </w:rPr>
        <w:t>AACN/Benchworks Nursing Assessment surveys and study results. All</w:t>
      </w:r>
      <w:r>
        <w:rPr>
          <w:spacing w:val="-6"/>
          <w:w w:val="105"/>
        </w:rPr>
        <w:t xml:space="preserve"> </w:t>
      </w:r>
      <w:r>
        <w:rPr>
          <w:w w:val="105"/>
        </w:rPr>
        <w:t>institutions</w:t>
      </w:r>
      <w:r>
        <w:rPr>
          <w:spacing w:val="19"/>
          <w:w w:val="105"/>
        </w:rPr>
        <w:t xml:space="preserve"> </w:t>
      </w:r>
      <w:r>
        <w:rPr>
          <w:w w:val="105"/>
        </w:rPr>
        <w:t>that</w:t>
      </w:r>
      <w:r>
        <w:rPr>
          <w:spacing w:val="20"/>
          <w:w w:val="105"/>
        </w:rPr>
        <w:t xml:space="preserve"> </w:t>
      </w:r>
      <w:r>
        <w:rPr>
          <w:w w:val="105"/>
        </w:rPr>
        <w:t>participate</w:t>
      </w:r>
      <w:r>
        <w:rPr>
          <w:spacing w:val="10"/>
          <w:w w:val="105"/>
        </w:rPr>
        <w:t xml:space="preserve"> </w:t>
      </w:r>
      <w:r>
        <w:rPr>
          <w:spacing w:val="-8"/>
          <w:w w:val="105"/>
        </w:rPr>
        <w:t>in</w:t>
      </w:r>
      <w:r>
        <w:rPr>
          <w:spacing w:val="-6"/>
          <w:w w:val="105"/>
        </w:rPr>
        <w:t xml:space="preserve"> </w:t>
      </w:r>
      <w:r>
        <w:rPr>
          <w:w w:val="105"/>
        </w:rPr>
        <w:t>this</w:t>
      </w:r>
      <w:r>
        <w:rPr>
          <w:spacing w:val="31"/>
          <w:w w:val="105"/>
        </w:rPr>
        <w:t xml:space="preserve"> </w:t>
      </w:r>
      <w:r>
        <w:rPr>
          <w:w w:val="105"/>
        </w:rPr>
        <w:t>project</w:t>
      </w:r>
      <w:r>
        <w:rPr>
          <w:spacing w:val="15"/>
          <w:w w:val="105"/>
        </w:rPr>
        <w:t xml:space="preserve"> </w:t>
      </w:r>
      <w:r>
        <w:rPr>
          <w:w w:val="105"/>
        </w:rPr>
        <w:t>must</w:t>
      </w:r>
      <w:r>
        <w:rPr>
          <w:spacing w:val="10"/>
          <w:w w:val="105"/>
        </w:rPr>
        <w:t xml:space="preserve"> </w:t>
      </w:r>
      <w:r>
        <w:rPr>
          <w:w w:val="105"/>
        </w:rPr>
        <w:t>order</w:t>
      </w:r>
      <w:r>
        <w:rPr>
          <w:spacing w:val="16"/>
          <w:w w:val="105"/>
        </w:rPr>
        <w:t xml:space="preserve"> </w:t>
      </w:r>
      <w:r>
        <w:rPr>
          <w:w w:val="105"/>
        </w:rPr>
        <w:t>through</w:t>
      </w:r>
      <w:r>
        <w:rPr>
          <w:spacing w:val="30"/>
          <w:w w:val="105"/>
        </w:rPr>
        <w:t xml:space="preserve"> </w:t>
      </w:r>
      <w:r>
        <w:rPr>
          <w:w w:val="105"/>
        </w:rPr>
        <w:t>Skyfactor.</w:t>
      </w:r>
      <w:r>
        <w:rPr>
          <w:spacing w:val="40"/>
          <w:w w:val="105"/>
        </w:rPr>
        <w:t xml:space="preserve"> </w:t>
      </w:r>
      <w:r>
        <w:rPr>
          <w:w w:val="105"/>
        </w:rPr>
        <w:t>These</w:t>
      </w:r>
      <w:r>
        <w:rPr>
          <w:spacing w:val="-57"/>
          <w:w w:val="105"/>
        </w:rPr>
        <w:t xml:space="preserve"> </w:t>
      </w:r>
      <w:r w:rsidR="00E34E12">
        <w:rPr>
          <w:spacing w:val="-57"/>
          <w:w w:val="105"/>
        </w:rPr>
        <w:t xml:space="preserve">     </w:t>
      </w:r>
      <w:r>
        <w:rPr>
          <w:w w:val="105"/>
        </w:rPr>
        <w:t>products are not offered through any resellers or distributors. The</w:t>
      </w:r>
      <w:r>
        <w:rPr>
          <w:spacing w:val="33"/>
          <w:w w:val="105"/>
        </w:rPr>
        <w:t xml:space="preserve"> </w:t>
      </w:r>
      <w:r>
        <w:rPr>
          <w:w w:val="105"/>
        </w:rPr>
        <w:t>AACN/Benchworks Nursing Assessments are offered in either a paper</w:t>
      </w:r>
      <w:r>
        <w:rPr>
          <w:spacing w:val="-11"/>
          <w:w w:val="105"/>
        </w:rPr>
        <w:t xml:space="preserve"> </w:t>
      </w:r>
      <w:r>
        <w:rPr>
          <w:w w:val="105"/>
        </w:rPr>
        <w:t>administration</w:t>
      </w:r>
      <w:r>
        <w:rPr>
          <w:spacing w:val="26"/>
          <w:w w:val="105"/>
        </w:rPr>
        <w:t xml:space="preserve"> </w:t>
      </w:r>
      <w:r>
        <w:rPr>
          <w:w w:val="105"/>
        </w:rPr>
        <w:t>or</w:t>
      </w:r>
      <w:r>
        <w:rPr>
          <w:spacing w:val="13"/>
          <w:w w:val="105"/>
        </w:rPr>
        <w:t xml:space="preserve"> </w:t>
      </w:r>
      <w:r>
        <w:rPr>
          <w:w w:val="105"/>
        </w:rPr>
        <w:t>a</w:t>
      </w:r>
      <w:r>
        <w:rPr>
          <w:spacing w:val="5"/>
          <w:w w:val="105"/>
        </w:rPr>
        <w:t xml:space="preserve"> </w:t>
      </w:r>
      <w:r>
        <w:rPr>
          <w:w w:val="105"/>
        </w:rPr>
        <w:t>Web-Enabled</w:t>
      </w:r>
      <w:r>
        <w:rPr>
          <w:spacing w:val="35"/>
          <w:w w:val="105"/>
        </w:rPr>
        <w:t xml:space="preserve"> </w:t>
      </w:r>
      <w:r>
        <w:rPr>
          <w:w w:val="105"/>
        </w:rPr>
        <w:t>Survey</w:t>
      </w:r>
      <w:r>
        <w:rPr>
          <w:spacing w:val="27"/>
          <w:w w:val="105"/>
        </w:rPr>
        <w:t xml:space="preserve"> </w:t>
      </w:r>
      <w:r>
        <w:rPr>
          <w:w w:val="105"/>
        </w:rPr>
        <w:t>System</w:t>
      </w:r>
      <w:r>
        <w:rPr>
          <w:spacing w:val="21"/>
          <w:w w:val="105"/>
        </w:rPr>
        <w:t xml:space="preserve"> </w:t>
      </w:r>
      <w:r>
        <w:rPr>
          <w:w w:val="105"/>
        </w:rPr>
        <w:t>(WESS).</w:t>
      </w:r>
      <w:r>
        <w:rPr>
          <w:spacing w:val="12"/>
          <w:w w:val="105"/>
        </w:rPr>
        <w:t xml:space="preserve"> </w:t>
      </w:r>
      <w:r>
        <w:rPr>
          <w:w w:val="105"/>
        </w:rPr>
        <w:t>The</w:t>
      </w:r>
      <w:r>
        <w:rPr>
          <w:spacing w:val="11"/>
          <w:w w:val="105"/>
        </w:rPr>
        <w:t xml:space="preserve"> </w:t>
      </w:r>
      <w:r>
        <w:rPr>
          <w:w w:val="105"/>
        </w:rPr>
        <w:t>cost</w:t>
      </w:r>
      <w:r>
        <w:rPr>
          <w:spacing w:val="8"/>
          <w:w w:val="105"/>
        </w:rPr>
        <w:t xml:space="preserve"> </w:t>
      </w:r>
      <w:r>
        <w:rPr>
          <w:w w:val="105"/>
        </w:rPr>
        <w:t>for</w:t>
      </w:r>
      <w:r>
        <w:rPr>
          <w:spacing w:val="21"/>
          <w:w w:val="105"/>
        </w:rPr>
        <w:t xml:space="preserve"> </w:t>
      </w:r>
      <w:r>
        <w:rPr>
          <w:w w:val="105"/>
        </w:rPr>
        <w:t>both</w:t>
      </w:r>
      <w:r>
        <w:rPr>
          <w:spacing w:val="-53"/>
          <w:w w:val="105"/>
        </w:rPr>
        <w:t xml:space="preserve"> </w:t>
      </w:r>
      <w:r w:rsidR="00E34E12">
        <w:rPr>
          <w:w w:val="105"/>
        </w:rPr>
        <w:t>administration methods</w:t>
      </w:r>
      <w:r>
        <w:rPr>
          <w:w w:val="105"/>
        </w:rPr>
        <w:t xml:space="preserve"> are the</w:t>
      </w:r>
      <w:r>
        <w:rPr>
          <w:spacing w:val="16"/>
          <w:w w:val="105"/>
        </w:rPr>
        <w:t xml:space="preserve"> </w:t>
      </w:r>
      <w:r>
        <w:rPr>
          <w:w w:val="105"/>
        </w:rPr>
        <w:t>same.</w:t>
      </w:r>
    </w:p>
    <w:p w14:paraId="772F1D7E" w14:textId="77777777" w:rsidR="00397B6F" w:rsidRDefault="00397B6F" w:rsidP="00DC566D">
      <w:pPr>
        <w:pStyle w:val="PlainText"/>
        <w:ind w:left="720"/>
        <w:jc w:val="both"/>
        <w:rPr>
          <w:rFonts w:ascii="Times New Roman" w:hAnsi="Times New Roman" w:cs="Times New Roman"/>
          <w:sz w:val="24"/>
          <w:szCs w:val="24"/>
        </w:rPr>
      </w:pPr>
    </w:p>
    <w:p w14:paraId="4660B65C" w14:textId="6AAD0E62" w:rsidR="00DC566D" w:rsidRPr="006B61DB" w:rsidRDefault="00DC566D" w:rsidP="00DC566D">
      <w:pPr>
        <w:pStyle w:val="PlainText"/>
        <w:ind w:left="720"/>
        <w:jc w:val="both"/>
        <w:rPr>
          <w:rFonts w:ascii="Times New Roman" w:hAnsi="Times New Roman" w:cs="Times New Roman"/>
          <w:sz w:val="24"/>
          <w:szCs w:val="24"/>
        </w:rPr>
      </w:pPr>
      <w:r w:rsidRPr="006B61DB">
        <w:rPr>
          <w:rFonts w:ascii="Times New Roman" w:hAnsi="Times New Roman" w:cs="Times New Roman"/>
          <w:sz w:val="24"/>
          <w:szCs w:val="24"/>
        </w:rPr>
        <w:t xml:space="preserve">They are not available from any other distributor. </w:t>
      </w:r>
      <w:r>
        <w:rPr>
          <w:rFonts w:ascii="Times New Roman" w:hAnsi="Times New Roman" w:cs="Times New Roman"/>
          <w:sz w:val="24"/>
          <w:szCs w:val="24"/>
        </w:rPr>
        <w:t xml:space="preserve"> See supporting letter </w:t>
      </w:r>
      <w:r w:rsidRPr="002D2405">
        <w:rPr>
          <w:rFonts w:ascii="Times New Roman" w:hAnsi="Times New Roman" w:cs="Times New Roman"/>
          <w:sz w:val="24"/>
          <w:szCs w:val="24"/>
        </w:rPr>
        <w:t xml:space="preserve">from </w:t>
      </w:r>
      <w:r w:rsidR="00E34E12">
        <w:rPr>
          <w:rFonts w:ascii="Times New Roman" w:hAnsi="Times New Roman" w:cs="Times New Roman"/>
          <w:b/>
          <w:sz w:val="24"/>
          <w:szCs w:val="24"/>
        </w:rPr>
        <w:t>Skyfactor, Inc</w:t>
      </w:r>
      <w:r w:rsidR="000F7174">
        <w:rPr>
          <w:rFonts w:ascii="Times New Roman" w:hAnsi="Times New Roman" w:cs="Times New Roman"/>
          <w:b/>
          <w:sz w:val="24"/>
          <w:szCs w:val="24"/>
        </w:rPr>
        <w:t xml:space="preserve">. </w:t>
      </w:r>
      <w:r>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284F2DE6" w14:textId="1EA63F6E" w:rsidR="00DC566D" w:rsidRPr="00B25F96" w:rsidRDefault="00DC566D" w:rsidP="00E34E12">
      <w:pPr>
        <w:ind w:left="720"/>
      </w:pPr>
      <w:r>
        <w:t xml:space="preserve">The estimated amount to be </w:t>
      </w:r>
      <w:r w:rsidRPr="00B25F96">
        <w:t xml:space="preserve">expended is for the </w:t>
      </w:r>
      <w:r w:rsidRPr="00B25F96">
        <w:rPr>
          <w:rFonts w:eastAsia="Times New Roman"/>
        </w:rPr>
        <w:t xml:space="preserve">purchase </w:t>
      </w:r>
      <w:r w:rsidRPr="002D2405">
        <w:rPr>
          <w:rFonts w:eastAsia="Times New Roman"/>
        </w:rPr>
        <w:t xml:space="preserve">of the </w:t>
      </w:r>
      <w:r w:rsidR="00E34E12" w:rsidRPr="004E7EC7">
        <w:rPr>
          <w:b/>
        </w:rPr>
        <w:t>AACN/Benchworks Undergraduate and</w:t>
      </w:r>
      <w:r w:rsidR="00E34E12">
        <w:rPr>
          <w:b/>
        </w:rPr>
        <w:t xml:space="preserve"> </w:t>
      </w:r>
      <w:r w:rsidR="00E34E12" w:rsidRPr="004E7EC7">
        <w:rPr>
          <w:b/>
        </w:rPr>
        <w:t>MSN Exit Assessments</w:t>
      </w:r>
      <w:r w:rsidR="00E34E12" w:rsidRPr="002D2405">
        <w:t xml:space="preserve"> </w:t>
      </w:r>
      <w:r w:rsidRPr="002D2405">
        <w:t xml:space="preserve">is </w:t>
      </w:r>
      <w:r w:rsidRPr="006624AB">
        <w:rPr>
          <w:b/>
          <w:bCs/>
        </w:rPr>
        <w:t>$</w:t>
      </w:r>
      <w:r w:rsidR="00E34E12">
        <w:rPr>
          <w:b/>
          <w:bCs/>
        </w:rPr>
        <w:t>16,068</w:t>
      </w:r>
      <w:r w:rsidR="00397B6F">
        <w:rPr>
          <w:b/>
          <w:bCs/>
        </w:rPr>
        <w:t>.00.</w:t>
      </w:r>
      <w:r w:rsidR="00AF2D42">
        <w:rPr>
          <w:bCs/>
        </w:rPr>
        <w:t xml:space="preserve">  Total investment to-date will be </w:t>
      </w:r>
      <w:r w:rsidR="00AF2D42" w:rsidRPr="006624AB">
        <w:rPr>
          <w:b/>
          <w:bCs/>
        </w:rPr>
        <w:t>$</w:t>
      </w:r>
      <w:r w:rsidR="00E34E12">
        <w:rPr>
          <w:b/>
          <w:bCs/>
        </w:rPr>
        <w:t>16,068.00</w:t>
      </w:r>
      <w:r w:rsidRPr="002D2405">
        <w:t>. This</w:t>
      </w:r>
      <w:r w:rsidRPr="00B25F96">
        <w:t xml:space="preserve"> amount is within the expected price range for </w:t>
      </w:r>
      <w:r>
        <w:t>these products</w:t>
      </w:r>
      <w:r w:rsidRPr="00B25F96">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7A91C27" w14:textId="77777777" w:rsidR="00397B6F" w:rsidRDefault="00397B6F" w:rsidP="002D2B69">
      <w:pPr>
        <w:rPr>
          <w:b/>
        </w:rPr>
      </w:pPr>
    </w:p>
    <w:p w14:paraId="501C0AB6" w14:textId="77777777" w:rsidR="00D771DB" w:rsidRDefault="00D771DB" w:rsidP="002D2B69">
      <w:pPr>
        <w:rPr>
          <w:b/>
        </w:rPr>
      </w:pPr>
    </w:p>
    <w:p w14:paraId="7E31B53F" w14:textId="77777777" w:rsidR="00D771DB" w:rsidRDefault="00D771DB" w:rsidP="002D2B69">
      <w:pPr>
        <w:rPr>
          <w:b/>
        </w:rPr>
      </w:pPr>
    </w:p>
    <w:p w14:paraId="1BA23724" w14:textId="77777777" w:rsidR="00D771DB" w:rsidRDefault="00D771DB" w:rsidP="002D2B69">
      <w:pPr>
        <w:rPr>
          <w:b/>
        </w:rPr>
      </w:pPr>
    </w:p>
    <w:p w14:paraId="1E17A1F1" w14:textId="77777777" w:rsidR="00D771DB" w:rsidRDefault="00D771DB" w:rsidP="002D2B69">
      <w:pPr>
        <w:rPr>
          <w:b/>
        </w:rPr>
      </w:pPr>
    </w:p>
    <w:p w14:paraId="151F91A8" w14:textId="392A1295"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181A4C28" w14:textId="77777777" w:rsidR="004E7EC7" w:rsidRPr="004E7EC7" w:rsidRDefault="002D2B69" w:rsidP="004E7EC7">
      <w:pPr>
        <w:ind w:left="720" w:hanging="720"/>
        <w:rPr>
          <w:b/>
        </w:rPr>
      </w:pPr>
      <w:r>
        <w:t xml:space="preserve">Interested parties who have reason to believe that the </w:t>
      </w:r>
      <w:r w:rsidR="004E7EC7" w:rsidRPr="004E7EC7">
        <w:rPr>
          <w:b/>
        </w:rPr>
        <w:t xml:space="preserve">AACN/Benchworks Undergraduate and </w:t>
      </w:r>
    </w:p>
    <w:p w14:paraId="110EB400" w14:textId="75D24C82" w:rsidR="004E7EC7" w:rsidRDefault="004E7EC7" w:rsidP="004E7EC7">
      <w:pPr>
        <w:ind w:left="720" w:hanging="720"/>
      </w:pPr>
      <w:r w:rsidRPr="004E7EC7">
        <w:rPr>
          <w:b/>
        </w:rPr>
        <w:t>MSN Exit Assessments</w:t>
      </w:r>
      <w:r>
        <w:rPr>
          <w:b/>
        </w:rPr>
        <w:t>,</w:t>
      </w:r>
      <w:r>
        <w:t xml:space="preserve"> (</w:t>
      </w:r>
      <w:r w:rsidR="00B96F08">
        <w:t xml:space="preserve">hereafter, “Products”) </w:t>
      </w:r>
      <w:r w:rsidR="002D2B69">
        <w:t xml:space="preserve">should not be certified as a sole source should </w:t>
      </w:r>
    </w:p>
    <w:p w14:paraId="5D728CD8" w14:textId="77777777" w:rsidR="004E7EC7" w:rsidRDefault="002D2B69" w:rsidP="004E7EC7">
      <w:pPr>
        <w:ind w:left="720" w:hanging="720"/>
      </w:pPr>
      <w:r>
        <w:t xml:space="preserve">provide information in the </w:t>
      </w:r>
      <w:r w:rsidR="00DC566D">
        <w:t>Vendor Form</w:t>
      </w:r>
      <w:r>
        <w:t xml:space="preserve"> for the State to use in determining whether or not to </w:t>
      </w:r>
    </w:p>
    <w:p w14:paraId="3BC45138" w14:textId="19BCCDFF" w:rsidR="004E7EC7" w:rsidRDefault="002D2B69" w:rsidP="004E7EC7">
      <w:pPr>
        <w:ind w:left="720" w:hanging="720"/>
      </w:pPr>
      <w:r>
        <w:t xml:space="preserve">proceed with awarding the sole source to </w:t>
      </w:r>
      <w:r w:rsidR="004E7EC7">
        <w:rPr>
          <w:b/>
        </w:rPr>
        <w:t>Skyfactor, Inc.</w:t>
      </w:r>
      <w:r w:rsidR="00DC566D">
        <w:t xml:space="preserve">  The Vendor Form</w:t>
      </w:r>
      <w:r w:rsidR="004E7EC7">
        <w:t xml:space="preserve"> </w:t>
      </w:r>
      <w:r w:rsidR="00DC566D">
        <w:t>may be found at</w:t>
      </w:r>
      <w:r w:rsidR="004E7EC7">
        <w:t>:</w:t>
      </w:r>
    </w:p>
    <w:p w14:paraId="28ADF4C6" w14:textId="58C29468" w:rsidR="002D2B69" w:rsidRDefault="00F350EF" w:rsidP="004E7EC7">
      <w:pPr>
        <w:ind w:left="720" w:hanging="720"/>
      </w:pPr>
      <w:hyperlink r:id="rId7"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6457FF43" w:rsidR="002D2B69" w:rsidRDefault="002D2B69" w:rsidP="00DC566D">
      <w:r>
        <w:t xml:space="preserve">Comments will be accepted at any time prior to </w:t>
      </w:r>
      <w:r w:rsidR="00397B6F">
        <w:t xml:space="preserve">Tuesday, </w:t>
      </w:r>
      <w:r w:rsidR="000F7174">
        <w:t>May 15</w:t>
      </w:r>
      <w:r w:rsidR="00026285">
        <w:t>, 2018</w:t>
      </w:r>
      <w:r>
        <w:t xml:space="preserve">, at 3:00 p.m. (Central Time) to </w:t>
      </w:r>
      <w:hyperlink r:id="rId8" w:history="1">
        <w:r w:rsidRPr="00847CD6">
          <w:rPr>
            <w:rStyle w:val="Hyperlink"/>
          </w:rPr>
          <w:t>solesource@umc.edu</w:t>
        </w:r>
      </w:hyperlink>
      <w:r>
        <w:t xml:space="preserve">.  Responses may be delivered via email to </w:t>
      </w:r>
      <w:hyperlink r:id="rId9"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0"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6EFED81" w:rsidR="002D2B69" w:rsidRDefault="002D2B69" w:rsidP="002D2B69">
                            <w:pPr>
                              <w:ind w:left="540" w:right="525"/>
                              <w:jc w:val="center"/>
                              <w:rPr>
                                <w:b/>
                              </w:rPr>
                            </w:pPr>
                            <w:r w:rsidRPr="00DC3864">
                              <w:rPr>
                                <w:b/>
                              </w:rPr>
                              <w:t>SUBMITTED IN RESPONSE TO</w:t>
                            </w:r>
                          </w:p>
                          <w:p w14:paraId="7D775539" w14:textId="77777777" w:rsidR="000F7174" w:rsidRPr="00DC3864" w:rsidRDefault="000F7174" w:rsidP="002D2B69">
                            <w:pPr>
                              <w:ind w:left="540" w:right="525"/>
                              <w:jc w:val="center"/>
                              <w:rPr>
                                <w:b/>
                              </w:rPr>
                            </w:pPr>
                          </w:p>
                          <w:p w14:paraId="0E16ED23" w14:textId="71E445EA" w:rsidR="002D2B69" w:rsidRDefault="002D2B69" w:rsidP="002D2B69">
                            <w:pPr>
                              <w:ind w:left="540" w:right="525"/>
                              <w:jc w:val="center"/>
                              <w:rPr>
                                <w:b/>
                              </w:rPr>
                            </w:pPr>
                            <w:r w:rsidRPr="00DC3864">
                              <w:rPr>
                                <w:b/>
                              </w:rPr>
                              <w:t xml:space="preserve">Sole Source Certification No. </w:t>
                            </w:r>
                            <w:r w:rsidR="001B22B0">
                              <w:rPr>
                                <w:b/>
                              </w:rPr>
                              <w:t>SS</w:t>
                            </w:r>
                            <w:r w:rsidR="00397B6F">
                              <w:rPr>
                                <w:b/>
                              </w:rPr>
                              <w:t>90</w:t>
                            </w:r>
                            <w:r w:rsidR="00E34E12">
                              <w:rPr>
                                <w:b/>
                              </w:rPr>
                              <w:t>61</w:t>
                            </w:r>
                          </w:p>
                          <w:p w14:paraId="5A8CBFC8" w14:textId="64A64B13" w:rsidR="004E7EC7" w:rsidRPr="004E7EC7" w:rsidRDefault="004E7EC7" w:rsidP="002D2B69">
                            <w:pPr>
                              <w:ind w:left="540" w:right="525"/>
                              <w:jc w:val="center"/>
                              <w:rPr>
                                <w:b/>
                              </w:rPr>
                            </w:pPr>
                          </w:p>
                          <w:p w14:paraId="05CB711B" w14:textId="77777777" w:rsidR="004E7EC7" w:rsidRPr="004E7EC7" w:rsidRDefault="004E7EC7" w:rsidP="004E7EC7">
                            <w:pPr>
                              <w:ind w:left="720" w:hanging="720"/>
                              <w:jc w:val="center"/>
                              <w:rPr>
                                <w:b/>
                              </w:rPr>
                            </w:pPr>
                            <w:r w:rsidRPr="004E7EC7">
                              <w:rPr>
                                <w:b/>
                              </w:rPr>
                              <w:t>AACN/Benchworks Undergraduate and MSN Exit Assessments</w:t>
                            </w:r>
                          </w:p>
                          <w:p w14:paraId="5A9AF590" w14:textId="77777777" w:rsidR="004E7EC7" w:rsidRDefault="004E7EC7" w:rsidP="002D2B69">
                            <w:pPr>
                              <w:ind w:left="540" w:right="525"/>
                              <w:jc w:val="center"/>
                              <w:rPr>
                                <w:b/>
                              </w:rPr>
                            </w:pPr>
                          </w:p>
                          <w:p w14:paraId="23732217" w14:textId="77777777" w:rsidR="00026285" w:rsidRPr="00DC3864" w:rsidRDefault="00026285" w:rsidP="002D2B69">
                            <w:pPr>
                              <w:ind w:left="540" w:right="525"/>
                              <w:jc w:val="center"/>
                              <w:rPr>
                                <w:b/>
                              </w:rPr>
                            </w:pPr>
                          </w:p>
                          <w:p w14:paraId="20940D37" w14:textId="1B795B3F" w:rsidR="002D2B69" w:rsidRPr="00DC3864" w:rsidRDefault="002D2B69" w:rsidP="002D2B69">
                            <w:pPr>
                              <w:ind w:left="540" w:right="525"/>
                              <w:jc w:val="center"/>
                              <w:rPr>
                                <w:b/>
                              </w:rPr>
                            </w:pPr>
                            <w:r w:rsidRPr="00DC3864">
                              <w:rPr>
                                <w:b/>
                              </w:rPr>
                              <w:t xml:space="preserve">Accepted until </w:t>
                            </w:r>
                            <w:r w:rsidR="00E34E12">
                              <w:rPr>
                                <w:b/>
                              </w:rPr>
                              <w:t>May</w:t>
                            </w:r>
                            <w:r w:rsidR="00397B6F">
                              <w:rPr>
                                <w:b/>
                              </w:rPr>
                              <w:t xml:space="preserve"> </w:t>
                            </w:r>
                            <w:r w:rsidR="00E34E12">
                              <w:rPr>
                                <w:b/>
                              </w:rPr>
                              <w:t>15</w:t>
                            </w:r>
                            <w:r w:rsidR="00026285">
                              <w:rPr>
                                <w:b/>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6EFED81" w:rsidR="002D2B69" w:rsidRDefault="002D2B69" w:rsidP="002D2B69">
                      <w:pPr>
                        <w:ind w:left="540" w:right="525"/>
                        <w:jc w:val="center"/>
                        <w:rPr>
                          <w:b/>
                        </w:rPr>
                      </w:pPr>
                      <w:r w:rsidRPr="00DC3864">
                        <w:rPr>
                          <w:b/>
                        </w:rPr>
                        <w:t>SUBMITTED IN RESPONSE TO</w:t>
                      </w:r>
                    </w:p>
                    <w:p w14:paraId="7D775539" w14:textId="77777777" w:rsidR="000F7174" w:rsidRPr="00DC3864" w:rsidRDefault="000F7174" w:rsidP="002D2B69">
                      <w:pPr>
                        <w:ind w:left="540" w:right="525"/>
                        <w:jc w:val="center"/>
                        <w:rPr>
                          <w:b/>
                        </w:rPr>
                      </w:pPr>
                    </w:p>
                    <w:p w14:paraId="0E16ED23" w14:textId="71E445EA" w:rsidR="002D2B69" w:rsidRDefault="002D2B69" w:rsidP="002D2B69">
                      <w:pPr>
                        <w:ind w:left="540" w:right="525"/>
                        <w:jc w:val="center"/>
                        <w:rPr>
                          <w:b/>
                        </w:rPr>
                      </w:pPr>
                      <w:r w:rsidRPr="00DC3864">
                        <w:rPr>
                          <w:b/>
                        </w:rPr>
                        <w:t xml:space="preserve">Sole Source Certification No. </w:t>
                      </w:r>
                      <w:r w:rsidR="001B22B0">
                        <w:rPr>
                          <w:b/>
                        </w:rPr>
                        <w:t>SS</w:t>
                      </w:r>
                      <w:r w:rsidR="00397B6F">
                        <w:rPr>
                          <w:b/>
                        </w:rPr>
                        <w:t>90</w:t>
                      </w:r>
                      <w:r w:rsidR="00E34E12">
                        <w:rPr>
                          <w:b/>
                        </w:rPr>
                        <w:t>61</w:t>
                      </w:r>
                    </w:p>
                    <w:p w14:paraId="5A8CBFC8" w14:textId="64A64B13" w:rsidR="004E7EC7" w:rsidRPr="004E7EC7" w:rsidRDefault="004E7EC7" w:rsidP="002D2B69">
                      <w:pPr>
                        <w:ind w:left="540" w:right="525"/>
                        <w:jc w:val="center"/>
                        <w:rPr>
                          <w:b/>
                        </w:rPr>
                      </w:pPr>
                    </w:p>
                    <w:p w14:paraId="05CB711B" w14:textId="77777777" w:rsidR="004E7EC7" w:rsidRPr="004E7EC7" w:rsidRDefault="004E7EC7" w:rsidP="004E7EC7">
                      <w:pPr>
                        <w:ind w:left="720" w:hanging="720"/>
                        <w:jc w:val="center"/>
                        <w:rPr>
                          <w:b/>
                        </w:rPr>
                      </w:pPr>
                      <w:r w:rsidRPr="004E7EC7">
                        <w:rPr>
                          <w:b/>
                        </w:rPr>
                        <w:t>AACN/Benchworks Undergraduate and MSN Exit Assessments</w:t>
                      </w:r>
                    </w:p>
                    <w:p w14:paraId="5A9AF590" w14:textId="77777777" w:rsidR="004E7EC7" w:rsidRDefault="004E7EC7" w:rsidP="002D2B69">
                      <w:pPr>
                        <w:ind w:left="540" w:right="525"/>
                        <w:jc w:val="center"/>
                        <w:rPr>
                          <w:b/>
                        </w:rPr>
                      </w:pPr>
                    </w:p>
                    <w:p w14:paraId="23732217" w14:textId="77777777" w:rsidR="00026285" w:rsidRPr="00DC3864" w:rsidRDefault="00026285" w:rsidP="002D2B69">
                      <w:pPr>
                        <w:ind w:left="540" w:right="525"/>
                        <w:jc w:val="center"/>
                        <w:rPr>
                          <w:b/>
                        </w:rPr>
                      </w:pPr>
                    </w:p>
                    <w:p w14:paraId="20940D37" w14:textId="1B795B3F" w:rsidR="002D2B69" w:rsidRPr="00DC3864" w:rsidRDefault="002D2B69" w:rsidP="002D2B69">
                      <w:pPr>
                        <w:ind w:left="540" w:right="525"/>
                        <w:jc w:val="center"/>
                        <w:rPr>
                          <w:b/>
                        </w:rPr>
                      </w:pPr>
                      <w:r w:rsidRPr="00DC3864">
                        <w:rPr>
                          <w:b/>
                        </w:rPr>
                        <w:t xml:space="preserve">Accepted until </w:t>
                      </w:r>
                      <w:r w:rsidR="00E34E12">
                        <w:rPr>
                          <w:b/>
                        </w:rPr>
                        <w:t>May</w:t>
                      </w:r>
                      <w:r w:rsidR="00397B6F">
                        <w:rPr>
                          <w:b/>
                        </w:rPr>
                        <w:t xml:space="preserve"> </w:t>
                      </w:r>
                      <w:r w:rsidR="00E34E12">
                        <w:rPr>
                          <w:b/>
                        </w:rPr>
                        <w:t>15</w:t>
                      </w:r>
                      <w:r w:rsidR="00026285">
                        <w:rPr>
                          <w:b/>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rsidSect="004E7EC7">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7751D"/>
    <w:rsid w:val="00091C15"/>
    <w:rsid w:val="000E2ADE"/>
    <w:rsid w:val="000F7174"/>
    <w:rsid w:val="001B22B0"/>
    <w:rsid w:val="002D2405"/>
    <w:rsid w:val="002D2B69"/>
    <w:rsid w:val="002F1534"/>
    <w:rsid w:val="00313658"/>
    <w:rsid w:val="00397B6F"/>
    <w:rsid w:val="004E7EC7"/>
    <w:rsid w:val="00600E14"/>
    <w:rsid w:val="006624AB"/>
    <w:rsid w:val="006653BF"/>
    <w:rsid w:val="006A18D5"/>
    <w:rsid w:val="006B61DB"/>
    <w:rsid w:val="006F31B1"/>
    <w:rsid w:val="00765458"/>
    <w:rsid w:val="007F5AE1"/>
    <w:rsid w:val="00923482"/>
    <w:rsid w:val="009415BF"/>
    <w:rsid w:val="009A2E30"/>
    <w:rsid w:val="009B01B7"/>
    <w:rsid w:val="009D150D"/>
    <w:rsid w:val="00A70889"/>
    <w:rsid w:val="00AA70D0"/>
    <w:rsid w:val="00AF2D42"/>
    <w:rsid w:val="00B25F96"/>
    <w:rsid w:val="00B4728B"/>
    <w:rsid w:val="00B96F08"/>
    <w:rsid w:val="00BC1E51"/>
    <w:rsid w:val="00C16C3E"/>
    <w:rsid w:val="00C46938"/>
    <w:rsid w:val="00C53427"/>
    <w:rsid w:val="00CA7E6A"/>
    <w:rsid w:val="00D0785D"/>
    <w:rsid w:val="00D771DB"/>
    <w:rsid w:val="00DC566D"/>
    <w:rsid w:val="00E32357"/>
    <w:rsid w:val="00E34E12"/>
    <w:rsid w:val="00E654C5"/>
    <w:rsid w:val="00EC3087"/>
    <w:rsid w:val="00EE05F8"/>
    <w:rsid w:val="00EE2EDC"/>
    <w:rsid w:val="00F35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BodyText">
    <w:name w:val="Body Text"/>
    <w:basedOn w:val="Normal"/>
    <w:link w:val="BodyTextChar"/>
    <w:uiPriority w:val="1"/>
    <w:qFormat/>
    <w:rsid w:val="00397B6F"/>
    <w:pPr>
      <w:widowControl w:val="0"/>
      <w:autoSpaceDE w:val="0"/>
      <w:autoSpaceDN w:val="0"/>
      <w:adjustRightInd w:val="0"/>
      <w:ind w:left="244"/>
    </w:pPr>
    <w:rPr>
      <w:rFonts w:ascii="Arial" w:eastAsiaTheme="minorEastAsia" w:hAnsi="Arial" w:cs="Arial"/>
      <w:sz w:val="22"/>
      <w:szCs w:val="22"/>
    </w:rPr>
  </w:style>
  <w:style w:type="character" w:customStyle="1" w:styleId="BodyTextChar">
    <w:name w:val="Body Text Char"/>
    <w:basedOn w:val="DefaultParagraphFont"/>
    <w:link w:val="BodyText"/>
    <w:uiPriority w:val="99"/>
    <w:rsid w:val="00397B6F"/>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tyles" Target="styles.xml"/><Relationship Id="rId7" Type="http://schemas.openxmlformats.org/officeDocument/2006/relationships/hyperlink" Target="http://www.dfa.state.ms.us/Purchasing/documents/ObjectiontoSoleSourceDetermination.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lesource@umc.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olesource@umc.edu" TargetMode="External"/><Relationship Id="rId4" Type="http://schemas.openxmlformats.org/officeDocument/2006/relationships/settings" Target="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9D4EE-2778-43BD-A624-D7028686D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Carol Northrup</cp:lastModifiedBy>
  <cp:revision>2</cp:revision>
  <cp:lastPrinted>2018-04-26T15:49:00Z</cp:lastPrinted>
  <dcterms:created xsi:type="dcterms:W3CDTF">2018-04-26T16:19:00Z</dcterms:created>
  <dcterms:modified xsi:type="dcterms:W3CDTF">2018-04-26T16:19:00Z</dcterms:modified>
</cp:coreProperties>
</file>