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071" w14:textId="77777777" w:rsidR="00403376" w:rsidRDefault="001B2CD3">
      <w:pPr>
        <w:pStyle w:val="BodyText"/>
        <w:ind w:left="1780"/>
        <w:rPr>
          <w:sz w:val="20"/>
        </w:rPr>
      </w:pPr>
      <w:r>
        <w:rPr>
          <w:noProof/>
          <w:sz w:val="20"/>
        </w:rPr>
        <w:drawing>
          <wp:inline distT="0" distB="0" distL="0" distR="0" wp14:anchorId="245E686C" wp14:editId="54D8BDD1">
            <wp:extent cx="4059166" cy="1310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59166" cy="1310640"/>
                    </a:xfrm>
                    <a:prstGeom prst="rect">
                      <a:avLst/>
                    </a:prstGeom>
                  </pic:spPr>
                </pic:pic>
              </a:graphicData>
            </a:graphic>
          </wp:inline>
        </w:drawing>
      </w:r>
    </w:p>
    <w:p w14:paraId="0DEA60A5" w14:textId="77777777" w:rsidR="00403376" w:rsidRDefault="00403376">
      <w:pPr>
        <w:pStyle w:val="BodyText"/>
        <w:rPr>
          <w:sz w:val="18"/>
        </w:rPr>
      </w:pPr>
    </w:p>
    <w:p w14:paraId="738A5B80" w14:textId="77777777" w:rsidR="00403376" w:rsidRDefault="001B2CD3">
      <w:pPr>
        <w:pStyle w:val="BodyText"/>
        <w:spacing w:before="91"/>
        <w:ind w:left="160"/>
      </w:pPr>
      <w:r>
        <w:t>January 25, 2024</w:t>
      </w:r>
    </w:p>
    <w:p w14:paraId="1DE53B3B" w14:textId="77777777" w:rsidR="00403376" w:rsidRDefault="00403376">
      <w:pPr>
        <w:pStyle w:val="BodyText"/>
        <w:rPr>
          <w:sz w:val="24"/>
        </w:rPr>
      </w:pPr>
    </w:p>
    <w:p w14:paraId="7E1E187A" w14:textId="77777777" w:rsidR="00403376" w:rsidRDefault="00403376">
      <w:pPr>
        <w:pStyle w:val="BodyText"/>
        <w:spacing w:before="11"/>
        <w:rPr>
          <w:sz w:val="19"/>
        </w:rPr>
      </w:pPr>
    </w:p>
    <w:p w14:paraId="639DFC8D" w14:textId="77777777" w:rsidR="00403376" w:rsidRDefault="001B2CD3">
      <w:pPr>
        <w:pStyle w:val="BodyText"/>
        <w:ind w:left="160"/>
      </w:pPr>
      <w:r>
        <w:t>Re: Request for Brand Specific Specification Approval</w:t>
      </w:r>
    </w:p>
    <w:p w14:paraId="3EEE8D5B" w14:textId="77777777" w:rsidR="00403376" w:rsidRDefault="00403376">
      <w:pPr>
        <w:pStyle w:val="BodyText"/>
        <w:rPr>
          <w:sz w:val="24"/>
        </w:rPr>
      </w:pPr>
    </w:p>
    <w:p w14:paraId="60B1B79F" w14:textId="77777777" w:rsidR="00403376" w:rsidRDefault="00403376">
      <w:pPr>
        <w:pStyle w:val="BodyText"/>
        <w:spacing w:before="11"/>
        <w:rPr>
          <w:sz w:val="19"/>
        </w:rPr>
      </w:pPr>
    </w:p>
    <w:p w14:paraId="1CDE2741" w14:textId="77777777" w:rsidR="00403376" w:rsidRDefault="001B2CD3">
      <w:pPr>
        <w:pStyle w:val="BodyText"/>
        <w:ind w:left="160"/>
      </w:pPr>
      <w:r>
        <w:t>I am writing to you to request a brand specific specification approval.</w:t>
      </w:r>
    </w:p>
    <w:p w14:paraId="1194AFF3" w14:textId="77777777" w:rsidR="00403376" w:rsidRDefault="00403376">
      <w:pPr>
        <w:pStyle w:val="BodyText"/>
      </w:pPr>
    </w:p>
    <w:p w14:paraId="102EADC2" w14:textId="77777777" w:rsidR="00403376" w:rsidRDefault="001B2CD3">
      <w:pPr>
        <w:pStyle w:val="BodyText"/>
        <w:ind w:left="160" w:right="185"/>
      </w:pPr>
      <w:r>
        <w:t>We have received several grants to conduct acoustic telemetry work on fish in the Mississippi Sound. To conduct this work, fish will be tagged with acoustic transmitters, and acoustic receivers will be strategically moored out in the Mississippi Sound to passively monitor presence and movement of the tagged fish.</w:t>
      </w:r>
    </w:p>
    <w:p w14:paraId="69CCB2F5" w14:textId="77777777" w:rsidR="00403376" w:rsidRDefault="00403376">
      <w:pPr>
        <w:pStyle w:val="BodyText"/>
      </w:pPr>
    </w:p>
    <w:p w14:paraId="6CFA45C8" w14:textId="77777777" w:rsidR="00403376" w:rsidRDefault="001B2CD3">
      <w:pPr>
        <w:pStyle w:val="BodyText"/>
        <w:ind w:left="159" w:right="278"/>
      </w:pPr>
      <w:r>
        <w:t>In order to complete the work required of these grants, we request the authority to purchase the brand specific equipment from AMIRIX Systems Inc./</w:t>
      </w:r>
      <w:proofErr w:type="spellStart"/>
      <w:r>
        <w:t>Vemco</w:t>
      </w:r>
      <w:proofErr w:type="spellEnd"/>
      <w:r>
        <w:t>. We propose to make several purchases over the next two years, with the first purchase occurring upon approval.</w:t>
      </w:r>
    </w:p>
    <w:p w14:paraId="5853EF42" w14:textId="77777777" w:rsidR="00403376" w:rsidRDefault="001B2CD3">
      <w:pPr>
        <w:pStyle w:val="BodyText"/>
        <w:spacing w:line="252" w:lineRule="exact"/>
        <w:ind w:left="159"/>
      </w:pPr>
      <w:r>
        <w:t>A maximum of the following would be purchased:</w:t>
      </w:r>
    </w:p>
    <w:p w14:paraId="270E9C82" w14:textId="77777777" w:rsidR="00403376" w:rsidRDefault="00403376">
      <w:pPr>
        <w:pStyle w:val="BodyText"/>
        <w:spacing w:before="1"/>
      </w:pPr>
    </w:p>
    <w:p w14:paraId="7696DF6B" w14:textId="51B32BDB" w:rsidR="00403376" w:rsidRDefault="001B2CD3">
      <w:pPr>
        <w:pStyle w:val="ListParagraph"/>
        <w:numPr>
          <w:ilvl w:val="0"/>
          <w:numId w:val="1"/>
        </w:numPr>
        <w:tabs>
          <w:tab w:val="left" w:pos="1599"/>
          <w:tab w:val="left" w:pos="1600"/>
        </w:tabs>
      </w:pPr>
      <w:r>
        <w:t>182 V13-1x-A69-1604; Rounded</w:t>
      </w:r>
      <w:r>
        <w:rPr>
          <w:spacing w:val="-4"/>
        </w:rPr>
        <w:t xml:space="preserve"> </w:t>
      </w:r>
      <w:r>
        <w:t>Case</w:t>
      </w:r>
    </w:p>
    <w:p w14:paraId="150614EB" w14:textId="77777777" w:rsidR="00403376" w:rsidRDefault="001B2CD3">
      <w:pPr>
        <w:pStyle w:val="ListParagraph"/>
        <w:numPr>
          <w:ilvl w:val="0"/>
          <w:numId w:val="1"/>
        </w:numPr>
        <w:tabs>
          <w:tab w:val="left" w:pos="1599"/>
          <w:tab w:val="left" w:pos="1600"/>
        </w:tabs>
      </w:pPr>
      <w:r>
        <w:t>15 V16-6x-A69-9001; Rounded</w:t>
      </w:r>
      <w:r>
        <w:rPr>
          <w:spacing w:val="-4"/>
        </w:rPr>
        <w:t xml:space="preserve"> </w:t>
      </w:r>
      <w:r>
        <w:t>Case</w:t>
      </w:r>
    </w:p>
    <w:p w14:paraId="255D3764" w14:textId="77777777" w:rsidR="00403376" w:rsidRDefault="001B2CD3">
      <w:pPr>
        <w:pStyle w:val="ListParagraph"/>
        <w:numPr>
          <w:ilvl w:val="0"/>
          <w:numId w:val="1"/>
        </w:numPr>
        <w:tabs>
          <w:tab w:val="left" w:pos="1599"/>
          <w:tab w:val="left" w:pos="1600"/>
        </w:tabs>
      </w:pPr>
      <w:r>
        <w:t>25 V9-A69-1604; Rounded</w:t>
      </w:r>
      <w:r>
        <w:rPr>
          <w:spacing w:val="-10"/>
        </w:rPr>
        <w:t xml:space="preserve"> </w:t>
      </w:r>
      <w:r>
        <w:t>Case</w:t>
      </w:r>
    </w:p>
    <w:p w14:paraId="0422BDC4" w14:textId="77777777" w:rsidR="00403376" w:rsidRDefault="001B2CD3">
      <w:pPr>
        <w:pStyle w:val="ListParagraph"/>
        <w:numPr>
          <w:ilvl w:val="0"/>
          <w:numId w:val="1"/>
        </w:numPr>
        <w:tabs>
          <w:tab w:val="left" w:pos="1599"/>
          <w:tab w:val="left" w:pos="1600"/>
        </w:tabs>
        <w:spacing w:line="249" w:lineRule="auto"/>
        <w:ind w:right="4373"/>
      </w:pPr>
      <w:r>
        <w:t>1</w:t>
      </w:r>
      <w:r>
        <w:rPr>
          <w:spacing w:val="-10"/>
        </w:rPr>
        <w:t xml:space="preserve"> </w:t>
      </w:r>
      <w:r>
        <w:t>Magnetic</w:t>
      </w:r>
      <w:r>
        <w:rPr>
          <w:spacing w:val="-10"/>
        </w:rPr>
        <w:t xml:space="preserve"> </w:t>
      </w:r>
      <w:r>
        <w:t>Activation</w:t>
      </w:r>
      <w:r>
        <w:rPr>
          <w:spacing w:val="-10"/>
        </w:rPr>
        <w:t xml:space="preserve"> </w:t>
      </w:r>
      <w:r>
        <w:t>Probe</w:t>
      </w:r>
      <w:r>
        <w:rPr>
          <w:spacing w:val="-10"/>
        </w:rPr>
        <w:t xml:space="preserve"> </w:t>
      </w:r>
      <w:r>
        <w:t>for</w:t>
      </w:r>
      <w:r>
        <w:rPr>
          <w:spacing w:val="-10"/>
        </w:rPr>
        <w:t xml:space="preserve"> </w:t>
      </w:r>
      <w:r>
        <w:t>Acoustic Receivers</w:t>
      </w:r>
    </w:p>
    <w:p w14:paraId="43D6B1CA" w14:textId="77777777" w:rsidR="00403376" w:rsidRDefault="001B2CD3">
      <w:pPr>
        <w:pStyle w:val="ListParagraph"/>
        <w:numPr>
          <w:ilvl w:val="0"/>
          <w:numId w:val="1"/>
        </w:numPr>
        <w:tabs>
          <w:tab w:val="left" w:pos="1599"/>
          <w:tab w:val="left" w:pos="1600"/>
        </w:tabs>
        <w:spacing w:line="249" w:lineRule="auto"/>
        <w:ind w:right="4620"/>
      </w:pPr>
      <w:r>
        <w:t>4</w:t>
      </w:r>
      <w:r>
        <w:rPr>
          <w:spacing w:val="-11"/>
        </w:rPr>
        <w:t xml:space="preserve"> </w:t>
      </w:r>
      <w:proofErr w:type="spellStart"/>
      <w:r>
        <w:t>NexTrak</w:t>
      </w:r>
      <w:proofErr w:type="spellEnd"/>
      <w:r>
        <w:rPr>
          <w:spacing w:val="-11"/>
        </w:rPr>
        <w:t xml:space="preserve"> </w:t>
      </w:r>
      <w:r>
        <w:t>R1-</w:t>
      </w:r>
      <w:r>
        <w:rPr>
          <w:spacing w:val="-11"/>
        </w:rPr>
        <w:t xml:space="preserve"> </w:t>
      </w:r>
      <w:proofErr w:type="spellStart"/>
      <w:r>
        <w:t>Transponding</w:t>
      </w:r>
      <w:proofErr w:type="spellEnd"/>
      <w:r>
        <w:rPr>
          <w:spacing w:val="-11"/>
        </w:rPr>
        <w:t xml:space="preserve"> </w:t>
      </w:r>
      <w:r>
        <w:t>Acoustic Receiver</w:t>
      </w:r>
    </w:p>
    <w:p w14:paraId="23211BD4" w14:textId="5F967094" w:rsidR="001B2CD3" w:rsidRDefault="004941A4">
      <w:pPr>
        <w:pStyle w:val="ListParagraph"/>
        <w:numPr>
          <w:ilvl w:val="0"/>
          <w:numId w:val="1"/>
        </w:numPr>
        <w:tabs>
          <w:tab w:val="left" w:pos="1599"/>
          <w:tab w:val="left" w:pos="1600"/>
        </w:tabs>
        <w:spacing w:line="249" w:lineRule="auto"/>
        <w:ind w:right="4620"/>
      </w:pPr>
      <w:r>
        <w:t xml:space="preserve">17 </w:t>
      </w:r>
      <w:proofErr w:type="spellStart"/>
      <w:r w:rsidR="001B2CD3" w:rsidRPr="001B2CD3">
        <w:t>NexTrak</w:t>
      </w:r>
      <w:proofErr w:type="spellEnd"/>
      <w:r w:rsidR="001B2CD3" w:rsidRPr="001B2CD3">
        <w:t xml:space="preserve"> R1 – </w:t>
      </w:r>
      <w:proofErr w:type="spellStart"/>
      <w:r w:rsidR="001B2CD3" w:rsidRPr="001B2CD3">
        <w:t>Transponding</w:t>
      </w:r>
      <w:proofErr w:type="spellEnd"/>
      <w:r w:rsidR="001B2CD3" w:rsidRPr="001B2CD3">
        <w:t xml:space="preserve"> Acoustic Receiver</w:t>
      </w:r>
    </w:p>
    <w:p w14:paraId="3280C4ED" w14:textId="77777777" w:rsidR="00403376" w:rsidRDefault="001B2CD3" w:rsidP="001B2CD3">
      <w:pPr>
        <w:pStyle w:val="BodyText"/>
        <w:spacing w:before="198"/>
        <w:ind w:right="185"/>
      </w:pPr>
      <w:r>
        <w:t xml:space="preserve">We are requesting to use </w:t>
      </w:r>
      <w:proofErr w:type="spellStart"/>
      <w:r>
        <w:t>Vemco</w:t>
      </w:r>
      <w:proofErr w:type="spellEnd"/>
      <w:r>
        <w:t xml:space="preserve"> products because we currently have an array developed throughout the Mississippi Sound using this brand (n=65, with an additional 140 about to be deployed). These upcoming projects will add to that infrastructure to create a more thorough coverage of the array. As these acoustics projects continue our goal is to have a complete array throughout the Mississippi coast. It is therefore imperative that we use consistent and compatible equipment. By changing brands, we would lose continuous coverage and our fish are only detectable on a portion of the array. If we had to use another product, we would have to replace the currently established array to achieve continuous coverage.</w:t>
      </w:r>
    </w:p>
    <w:p w14:paraId="110F7B3D" w14:textId="77777777" w:rsidR="00403376" w:rsidRDefault="00403376">
      <w:pPr>
        <w:pStyle w:val="BodyText"/>
        <w:spacing w:before="10"/>
        <w:rPr>
          <w:sz w:val="21"/>
        </w:rPr>
      </w:pPr>
    </w:p>
    <w:p w14:paraId="19F77D0C" w14:textId="77777777" w:rsidR="00403376" w:rsidRDefault="001B2CD3">
      <w:pPr>
        <w:pStyle w:val="BodyText"/>
        <w:spacing w:before="1"/>
        <w:ind w:left="151" w:right="237"/>
      </w:pPr>
      <w:r>
        <w:t xml:space="preserve">An additional benefit to using this product is that many colleagues in the northern Gulf of Mexico region also use this product. Therefore, the transmitters we use on our fish are compatible with the </w:t>
      </w:r>
      <w:proofErr w:type="spellStart"/>
      <w:r>
        <w:t>Vemco</w:t>
      </w:r>
      <w:proofErr w:type="spellEnd"/>
      <w:r>
        <w:t xml:space="preserve"> receivers that our colleagues have deployed, and through our data sharing efforts we enhance our detection area. This compatibility and collaborative effort results in greater refinement of our resultant data.</w:t>
      </w:r>
    </w:p>
    <w:p w14:paraId="4684FD71" w14:textId="77777777" w:rsidR="00403376" w:rsidRDefault="00403376">
      <w:pPr>
        <w:pStyle w:val="BodyText"/>
        <w:spacing w:before="9"/>
        <w:rPr>
          <w:sz w:val="21"/>
        </w:rPr>
      </w:pPr>
    </w:p>
    <w:p w14:paraId="76FBA7D9" w14:textId="77777777" w:rsidR="00403376" w:rsidRDefault="001B2CD3">
      <w:pPr>
        <w:pStyle w:val="BodyText"/>
        <w:spacing w:before="1"/>
        <w:ind w:left="151" w:right="119"/>
      </w:pPr>
      <w:r>
        <w:t xml:space="preserve">In the past we have tried using equipment from the comparable company, Lotek/Sonotronics. However, it is resoundingly apparent that </w:t>
      </w:r>
      <w:proofErr w:type="spellStart"/>
      <w:r>
        <w:t>Vemco’s</w:t>
      </w:r>
      <w:proofErr w:type="spellEnd"/>
      <w:r>
        <w:t xml:space="preserve"> product was far superior. The Lotek product requires that the receiver be removed from the water and opened, exposing the batteries and computer, in order to download the recorded data or change the batteries (only 7 month life). This monthly at sea exposure is a major source of potential water fouling, causing shorting of the computing system and loss of the</w:t>
      </w:r>
      <w:r>
        <w:rPr>
          <w:spacing w:val="-14"/>
        </w:rPr>
        <w:t xml:space="preserve"> </w:t>
      </w:r>
      <w:r>
        <w:t>data.</w:t>
      </w:r>
    </w:p>
    <w:p w14:paraId="08091F8B" w14:textId="2D906D50" w:rsidR="00403376" w:rsidRDefault="001B2CD3" w:rsidP="001B2CD3">
      <w:pPr>
        <w:pStyle w:val="BodyText"/>
        <w:ind w:left="151" w:right="185"/>
        <w:sectPr w:rsidR="00403376">
          <w:type w:val="continuous"/>
          <w:pgSz w:w="12240" w:h="15840"/>
          <w:pgMar w:top="180" w:right="1320" w:bottom="280" w:left="1280" w:header="720" w:footer="720" w:gutter="0"/>
          <w:cols w:space="720"/>
        </w:sectPr>
      </w:pPr>
      <w:proofErr w:type="spellStart"/>
      <w:r>
        <w:t>Vemco</w:t>
      </w:r>
      <w:proofErr w:type="spellEnd"/>
      <w:r>
        <w:t xml:space="preserve"> on the other hand provides wireless download capabilities that maintains the integrity of the internal computing system and has a 15 month battery life, further reducing the number of times the housing needs to be opened.  Also, with the Lotek product we had over 50% of the receivers crack</w:t>
      </w:r>
      <w:r>
        <w:rPr>
          <w:spacing w:val="-25"/>
        </w:rPr>
        <w:t xml:space="preserve"> </w:t>
      </w:r>
      <w:r>
        <w:t>and</w:t>
      </w:r>
    </w:p>
    <w:p w14:paraId="610BD9E2" w14:textId="77777777" w:rsidR="00403376" w:rsidRDefault="001B2CD3" w:rsidP="001B2CD3">
      <w:pPr>
        <w:pStyle w:val="BodyText"/>
        <w:spacing w:before="78"/>
        <w:ind w:right="100"/>
      </w:pPr>
      <w:r>
        <w:lastRenderedPageBreak/>
        <w:t>flood while deployed, which destroyed the data and resulted in the purchase of new equipment for replacement. This increased the costs of the project to levels beyond what was budgeted and resulted in an inconsistent dataset.</w:t>
      </w:r>
    </w:p>
    <w:p w14:paraId="1EB28A65" w14:textId="77777777" w:rsidR="00403376" w:rsidRDefault="00403376">
      <w:pPr>
        <w:pStyle w:val="BodyText"/>
        <w:rPr>
          <w:sz w:val="24"/>
        </w:rPr>
      </w:pPr>
    </w:p>
    <w:p w14:paraId="42740F9F" w14:textId="77777777" w:rsidR="00403376" w:rsidRDefault="00403376">
      <w:pPr>
        <w:pStyle w:val="BodyText"/>
        <w:rPr>
          <w:sz w:val="20"/>
        </w:rPr>
      </w:pPr>
    </w:p>
    <w:p w14:paraId="798812D0" w14:textId="77777777" w:rsidR="00403376" w:rsidRDefault="001B2CD3">
      <w:pPr>
        <w:pStyle w:val="BodyText"/>
        <w:ind w:left="160" w:right="333"/>
      </w:pPr>
      <w:r>
        <w:t>We greatly appreciate your consideration of this brand specific bid request as the superior quality of the AMIRIX Systems Inc./</w:t>
      </w:r>
      <w:proofErr w:type="spellStart"/>
      <w:r>
        <w:t>Vemco</w:t>
      </w:r>
      <w:proofErr w:type="spellEnd"/>
      <w:r>
        <w:t xml:space="preserve"> product and compatibility with our colleagues’ arrays makes it ideal for the goals of these projects.</w:t>
      </w:r>
    </w:p>
    <w:p w14:paraId="74469D69" w14:textId="77777777" w:rsidR="00403376" w:rsidRDefault="00403376">
      <w:pPr>
        <w:pStyle w:val="BodyText"/>
      </w:pPr>
    </w:p>
    <w:p w14:paraId="5411BC0E" w14:textId="77777777" w:rsidR="00403376" w:rsidRDefault="001B2CD3">
      <w:pPr>
        <w:pStyle w:val="BodyText"/>
        <w:spacing w:before="1" w:line="720" w:lineRule="auto"/>
        <w:ind w:left="159" w:right="2630"/>
      </w:pPr>
      <w:r>
        <w:rPr>
          <w:noProof/>
        </w:rPr>
        <w:drawing>
          <wp:anchor distT="0" distB="0" distL="0" distR="0" simplePos="0" relativeHeight="251552768" behindDoc="1" locked="0" layoutInCell="1" allowOverlap="1" wp14:anchorId="19F6D8D0" wp14:editId="2DE86DE5">
            <wp:simplePos x="0" y="0"/>
            <wp:positionH relativeFrom="page">
              <wp:posOffset>886286</wp:posOffset>
            </wp:positionH>
            <wp:positionV relativeFrom="paragraph">
              <wp:posOffset>709451</wp:posOffset>
            </wp:positionV>
            <wp:extent cx="1350310" cy="4247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50310" cy="424709"/>
                    </a:xfrm>
                    <a:prstGeom prst="rect">
                      <a:avLst/>
                    </a:prstGeom>
                  </pic:spPr>
                </pic:pic>
              </a:graphicData>
            </a:graphic>
          </wp:anchor>
        </w:drawing>
      </w:r>
      <w:r>
        <w:t>Please let me know if you need any more information to approve this request. Sincerely,</w:t>
      </w:r>
    </w:p>
    <w:p w14:paraId="4768491D" w14:textId="77777777" w:rsidR="00403376" w:rsidRDefault="00403376">
      <w:pPr>
        <w:pStyle w:val="BodyText"/>
        <w:spacing w:before="11"/>
        <w:rPr>
          <w:sz w:val="21"/>
        </w:rPr>
      </w:pPr>
    </w:p>
    <w:p w14:paraId="06C9CA2F" w14:textId="77777777" w:rsidR="00403376" w:rsidRDefault="001B2CD3">
      <w:pPr>
        <w:pStyle w:val="BodyText"/>
        <w:ind w:left="159" w:right="8440"/>
      </w:pPr>
      <w:r>
        <w:t>Jill Hendon Director</w:t>
      </w:r>
    </w:p>
    <w:p w14:paraId="065E2F17" w14:textId="77777777" w:rsidR="00403376" w:rsidRDefault="001B2CD3">
      <w:pPr>
        <w:pStyle w:val="BodyText"/>
        <w:spacing w:line="251" w:lineRule="exact"/>
        <w:ind w:left="159"/>
      </w:pPr>
      <w:r>
        <w:t>Center for Fisheries Research and Development</w:t>
      </w:r>
    </w:p>
    <w:p w14:paraId="664139CE" w14:textId="77777777" w:rsidR="00403376" w:rsidRDefault="001B2CD3">
      <w:pPr>
        <w:pStyle w:val="BodyText"/>
        <w:spacing w:before="7"/>
        <w:rPr>
          <w:sz w:val="25"/>
        </w:rPr>
      </w:pPr>
      <w:r>
        <w:rPr>
          <w:noProof/>
        </w:rPr>
        <w:drawing>
          <wp:anchor distT="0" distB="0" distL="0" distR="0" simplePos="0" relativeHeight="251658240" behindDoc="0" locked="0" layoutInCell="1" allowOverlap="1" wp14:anchorId="48CCA4DC" wp14:editId="6DDD6E60">
            <wp:simplePos x="0" y="0"/>
            <wp:positionH relativeFrom="page">
              <wp:posOffset>903168</wp:posOffset>
            </wp:positionH>
            <wp:positionV relativeFrom="paragraph">
              <wp:posOffset>211937</wp:posOffset>
            </wp:positionV>
            <wp:extent cx="952501" cy="27717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52501" cy="277177"/>
                    </a:xfrm>
                    <a:prstGeom prst="rect">
                      <a:avLst/>
                    </a:prstGeom>
                  </pic:spPr>
                </pic:pic>
              </a:graphicData>
            </a:graphic>
          </wp:anchor>
        </w:drawing>
      </w:r>
    </w:p>
    <w:p w14:paraId="6F53735E" w14:textId="77777777" w:rsidR="00403376" w:rsidRDefault="001B2CD3">
      <w:pPr>
        <w:pStyle w:val="Heading1"/>
        <w:spacing w:before="32"/>
      </w:pPr>
      <w:r>
        <w:t>Michael Andres</w:t>
      </w:r>
    </w:p>
    <w:p w14:paraId="6F7DCDB0" w14:textId="77777777" w:rsidR="00403376" w:rsidRDefault="001B2CD3">
      <w:pPr>
        <w:ind w:left="160" w:right="5581"/>
        <w:rPr>
          <w:sz w:val="24"/>
        </w:rPr>
      </w:pPr>
      <w:r>
        <w:rPr>
          <w:sz w:val="24"/>
        </w:rPr>
        <w:t>Assistant Research Professor Department of Coastal Sciences</w:t>
      </w:r>
    </w:p>
    <w:p w14:paraId="4848D28C" w14:textId="77777777" w:rsidR="00403376" w:rsidRDefault="00403376">
      <w:pPr>
        <w:pStyle w:val="BodyText"/>
        <w:rPr>
          <w:sz w:val="20"/>
        </w:rPr>
      </w:pPr>
    </w:p>
    <w:p w14:paraId="2CC21735" w14:textId="77777777" w:rsidR="00403376" w:rsidRDefault="00403376">
      <w:pPr>
        <w:pStyle w:val="BodyText"/>
        <w:rPr>
          <w:sz w:val="20"/>
        </w:rPr>
      </w:pPr>
    </w:p>
    <w:p w14:paraId="2D0117A2" w14:textId="77777777" w:rsidR="00403376" w:rsidRDefault="00403376">
      <w:pPr>
        <w:pStyle w:val="BodyText"/>
        <w:rPr>
          <w:sz w:val="20"/>
        </w:rPr>
      </w:pPr>
    </w:p>
    <w:p w14:paraId="1DF4715A" w14:textId="77777777" w:rsidR="00403376" w:rsidRDefault="00403376">
      <w:pPr>
        <w:pStyle w:val="BodyText"/>
        <w:rPr>
          <w:sz w:val="20"/>
        </w:rPr>
      </w:pPr>
    </w:p>
    <w:p w14:paraId="45AD58D2" w14:textId="77777777" w:rsidR="00403376" w:rsidRDefault="00403376">
      <w:pPr>
        <w:pStyle w:val="BodyText"/>
        <w:rPr>
          <w:sz w:val="20"/>
        </w:rPr>
      </w:pPr>
    </w:p>
    <w:p w14:paraId="263542F0" w14:textId="77777777" w:rsidR="00403376" w:rsidRDefault="00403376">
      <w:pPr>
        <w:pStyle w:val="BodyText"/>
        <w:rPr>
          <w:sz w:val="20"/>
        </w:rPr>
      </w:pPr>
    </w:p>
    <w:p w14:paraId="6455B213" w14:textId="77777777" w:rsidR="00403376" w:rsidRDefault="00403376">
      <w:pPr>
        <w:pStyle w:val="BodyText"/>
        <w:rPr>
          <w:sz w:val="20"/>
        </w:rPr>
      </w:pPr>
    </w:p>
    <w:p w14:paraId="469D6848" w14:textId="77777777" w:rsidR="00403376" w:rsidRDefault="00403376">
      <w:pPr>
        <w:pStyle w:val="BodyText"/>
        <w:rPr>
          <w:sz w:val="20"/>
        </w:rPr>
      </w:pPr>
    </w:p>
    <w:p w14:paraId="1FB662C8" w14:textId="77777777" w:rsidR="00403376" w:rsidRDefault="00403376">
      <w:pPr>
        <w:pStyle w:val="BodyText"/>
        <w:rPr>
          <w:sz w:val="20"/>
        </w:rPr>
      </w:pPr>
    </w:p>
    <w:p w14:paraId="32F85737" w14:textId="77777777" w:rsidR="00403376" w:rsidRDefault="00403376">
      <w:pPr>
        <w:pStyle w:val="BodyText"/>
        <w:rPr>
          <w:sz w:val="20"/>
        </w:rPr>
      </w:pPr>
    </w:p>
    <w:p w14:paraId="7C36BA89" w14:textId="77777777" w:rsidR="00403376" w:rsidRDefault="00403376">
      <w:pPr>
        <w:pStyle w:val="BodyText"/>
        <w:rPr>
          <w:sz w:val="20"/>
        </w:rPr>
      </w:pPr>
    </w:p>
    <w:p w14:paraId="5A9F06A4" w14:textId="77777777" w:rsidR="00403376" w:rsidRDefault="00403376">
      <w:pPr>
        <w:pStyle w:val="BodyText"/>
        <w:rPr>
          <w:sz w:val="20"/>
        </w:rPr>
      </w:pPr>
    </w:p>
    <w:p w14:paraId="21CE9892" w14:textId="77777777" w:rsidR="00403376" w:rsidRDefault="00403376">
      <w:pPr>
        <w:pStyle w:val="BodyText"/>
        <w:rPr>
          <w:sz w:val="20"/>
        </w:rPr>
      </w:pPr>
    </w:p>
    <w:p w14:paraId="0DBFEE76" w14:textId="77777777" w:rsidR="00403376" w:rsidRDefault="00403376">
      <w:pPr>
        <w:pStyle w:val="BodyText"/>
        <w:rPr>
          <w:sz w:val="20"/>
        </w:rPr>
      </w:pPr>
    </w:p>
    <w:p w14:paraId="172BDB0B" w14:textId="77777777" w:rsidR="00403376" w:rsidRDefault="00403376">
      <w:pPr>
        <w:pStyle w:val="BodyText"/>
        <w:rPr>
          <w:sz w:val="20"/>
        </w:rPr>
      </w:pPr>
    </w:p>
    <w:p w14:paraId="087EF4FD" w14:textId="77777777" w:rsidR="00403376" w:rsidRDefault="00403376">
      <w:pPr>
        <w:pStyle w:val="BodyText"/>
        <w:rPr>
          <w:sz w:val="20"/>
        </w:rPr>
      </w:pPr>
    </w:p>
    <w:p w14:paraId="09894609" w14:textId="77777777" w:rsidR="00403376" w:rsidRDefault="00403376">
      <w:pPr>
        <w:pStyle w:val="BodyText"/>
        <w:rPr>
          <w:sz w:val="20"/>
        </w:rPr>
      </w:pPr>
    </w:p>
    <w:p w14:paraId="72507C9E" w14:textId="77777777" w:rsidR="00403376" w:rsidRDefault="00403376">
      <w:pPr>
        <w:pStyle w:val="BodyText"/>
        <w:rPr>
          <w:sz w:val="20"/>
        </w:rPr>
      </w:pPr>
    </w:p>
    <w:p w14:paraId="14C99FD4" w14:textId="77777777" w:rsidR="00403376" w:rsidRDefault="00403376">
      <w:pPr>
        <w:pStyle w:val="BodyText"/>
        <w:rPr>
          <w:sz w:val="20"/>
        </w:rPr>
      </w:pPr>
    </w:p>
    <w:p w14:paraId="1605472F" w14:textId="77777777" w:rsidR="00403376" w:rsidRDefault="00403376">
      <w:pPr>
        <w:pStyle w:val="BodyText"/>
        <w:rPr>
          <w:sz w:val="20"/>
        </w:rPr>
      </w:pPr>
    </w:p>
    <w:p w14:paraId="63888E45" w14:textId="77777777" w:rsidR="00403376" w:rsidRDefault="00403376">
      <w:pPr>
        <w:pStyle w:val="BodyText"/>
        <w:rPr>
          <w:sz w:val="20"/>
        </w:rPr>
      </w:pPr>
    </w:p>
    <w:p w14:paraId="08C6CFC0" w14:textId="77777777" w:rsidR="00403376" w:rsidRDefault="00403376">
      <w:pPr>
        <w:pStyle w:val="BodyText"/>
        <w:rPr>
          <w:sz w:val="20"/>
        </w:rPr>
      </w:pPr>
    </w:p>
    <w:p w14:paraId="4E1CB4B1" w14:textId="77777777" w:rsidR="00403376" w:rsidRDefault="00403376">
      <w:pPr>
        <w:pStyle w:val="BodyText"/>
        <w:rPr>
          <w:sz w:val="20"/>
        </w:rPr>
      </w:pPr>
    </w:p>
    <w:p w14:paraId="3E4CD021" w14:textId="77777777" w:rsidR="00403376" w:rsidRDefault="00403376">
      <w:pPr>
        <w:pStyle w:val="BodyText"/>
        <w:rPr>
          <w:sz w:val="20"/>
        </w:rPr>
      </w:pPr>
    </w:p>
    <w:p w14:paraId="23D9560F" w14:textId="77777777" w:rsidR="00403376" w:rsidRDefault="00403376">
      <w:pPr>
        <w:pStyle w:val="BodyText"/>
        <w:spacing w:before="8"/>
        <w:rPr>
          <w:sz w:val="27"/>
        </w:rPr>
      </w:pPr>
    </w:p>
    <w:p w14:paraId="63C74FA5" w14:textId="77777777" w:rsidR="00403376" w:rsidRDefault="001B2CD3">
      <w:pPr>
        <w:spacing w:before="91"/>
        <w:ind w:left="1156" w:right="1117"/>
        <w:jc w:val="center"/>
        <w:rPr>
          <w:b/>
          <w:i/>
          <w:sz w:val="20"/>
        </w:rPr>
      </w:pPr>
      <w:r>
        <w:rPr>
          <w:b/>
          <w:i/>
          <w:sz w:val="20"/>
        </w:rPr>
        <w:t>Gulf Coast Research Laboratory</w:t>
      </w:r>
    </w:p>
    <w:p w14:paraId="704750BE" w14:textId="77777777" w:rsidR="00403376" w:rsidRDefault="001B2CD3">
      <w:pPr>
        <w:spacing w:line="207" w:lineRule="exact"/>
        <w:ind w:left="1156" w:right="1115"/>
        <w:jc w:val="center"/>
        <w:rPr>
          <w:sz w:val="18"/>
        </w:rPr>
      </w:pPr>
      <w:r>
        <w:rPr>
          <w:sz w:val="18"/>
        </w:rPr>
        <w:t>703 East Beach Drive • Ocean Springs, MS • 39564</w:t>
      </w:r>
    </w:p>
    <w:p w14:paraId="7AF18720" w14:textId="77777777" w:rsidR="00403376" w:rsidRDefault="001B2CD3">
      <w:pPr>
        <w:spacing w:line="207" w:lineRule="exact"/>
        <w:ind w:left="1156" w:right="1116"/>
        <w:jc w:val="center"/>
        <w:rPr>
          <w:sz w:val="18"/>
        </w:rPr>
      </w:pPr>
      <w:r>
        <w:rPr>
          <w:sz w:val="18"/>
        </w:rPr>
        <w:t>Phone (228) 872-4242 • Lab (228) 872-4257 • Fax (228) 872-4219</w:t>
      </w:r>
    </w:p>
    <w:p w14:paraId="1ED9CB71" w14:textId="77777777" w:rsidR="00403376" w:rsidRDefault="001B2CD3">
      <w:pPr>
        <w:spacing w:before="2"/>
        <w:ind w:left="1156" w:right="1117"/>
        <w:jc w:val="center"/>
        <w:rPr>
          <w:sz w:val="18"/>
        </w:rPr>
      </w:pPr>
      <w:r>
        <w:rPr>
          <w:sz w:val="18"/>
        </w:rPr>
        <w:t>E-ma</w:t>
      </w:r>
      <w:hyperlink r:id="rId8">
        <w:r>
          <w:rPr>
            <w:sz w:val="18"/>
          </w:rPr>
          <w:t xml:space="preserve">il: jill.hendon@usm.edu </w:t>
        </w:r>
      </w:hyperlink>
      <w:r>
        <w:rPr>
          <w:sz w:val="18"/>
          <w:u w:val="single"/>
        </w:rPr>
        <w:t>•</w:t>
      </w:r>
      <w:r>
        <w:rPr>
          <w:sz w:val="18"/>
        </w:rPr>
        <w:t xml:space="preserve"> </w:t>
      </w:r>
      <w:hyperlink r:id="rId9">
        <w:r>
          <w:rPr>
            <w:sz w:val="18"/>
          </w:rPr>
          <w:t>http://www.usm.edu/gcrl/fisheries_center/shark.research.program.php</w:t>
        </w:r>
      </w:hyperlink>
    </w:p>
    <w:sectPr w:rsidR="00403376">
      <w:pgSz w:w="12240" w:h="15840"/>
      <w:pgMar w:top="136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0DE"/>
    <w:multiLevelType w:val="hybridMultilevel"/>
    <w:tmpl w:val="8BE67000"/>
    <w:lvl w:ilvl="0" w:tplc="21B0DB5C">
      <w:numFmt w:val="bullet"/>
      <w:lvlText w:val=""/>
      <w:lvlJc w:val="left"/>
      <w:pPr>
        <w:ind w:left="1599" w:hanging="361"/>
      </w:pPr>
      <w:rPr>
        <w:rFonts w:ascii="Symbol" w:eastAsia="Symbol" w:hAnsi="Symbol" w:cs="Symbol" w:hint="default"/>
        <w:w w:val="100"/>
        <w:sz w:val="22"/>
        <w:szCs w:val="22"/>
        <w:lang w:val="en-US" w:eastAsia="en-US" w:bidi="en-US"/>
      </w:rPr>
    </w:lvl>
    <w:lvl w:ilvl="1" w:tplc="EA2AF766">
      <w:numFmt w:val="bullet"/>
      <w:lvlText w:val="•"/>
      <w:lvlJc w:val="left"/>
      <w:pPr>
        <w:ind w:left="3280" w:hanging="361"/>
      </w:pPr>
      <w:rPr>
        <w:rFonts w:hint="default"/>
        <w:lang w:val="en-US" w:eastAsia="en-US" w:bidi="en-US"/>
      </w:rPr>
    </w:lvl>
    <w:lvl w:ilvl="2" w:tplc="9670E2B8">
      <w:numFmt w:val="bullet"/>
      <w:lvlText w:val="•"/>
      <w:lvlJc w:val="left"/>
      <w:pPr>
        <w:ind w:left="3986" w:hanging="361"/>
      </w:pPr>
      <w:rPr>
        <w:rFonts w:hint="default"/>
        <w:lang w:val="en-US" w:eastAsia="en-US" w:bidi="en-US"/>
      </w:rPr>
    </w:lvl>
    <w:lvl w:ilvl="3" w:tplc="4B8A7F38">
      <w:numFmt w:val="bullet"/>
      <w:lvlText w:val="•"/>
      <w:lvlJc w:val="left"/>
      <w:pPr>
        <w:ind w:left="4693" w:hanging="361"/>
      </w:pPr>
      <w:rPr>
        <w:rFonts w:hint="default"/>
        <w:lang w:val="en-US" w:eastAsia="en-US" w:bidi="en-US"/>
      </w:rPr>
    </w:lvl>
    <w:lvl w:ilvl="4" w:tplc="E72AD080">
      <w:numFmt w:val="bullet"/>
      <w:lvlText w:val="•"/>
      <w:lvlJc w:val="left"/>
      <w:pPr>
        <w:ind w:left="5400" w:hanging="361"/>
      </w:pPr>
      <w:rPr>
        <w:rFonts w:hint="default"/>
        <w:lang w:val="en-US" w:eastAsia="en-US" w:bidi="en-US"/>
      </w:rPr>
    </w:lvl>
    <w:lvl w:ilvl="5" w:tplc="74B846F0">
      <w:numFmt w:val="bullet"/>
      <w:lvlText w:val="•"/>
      <w:lvlJc w:val="left"/>
      <w:pPr>
        <w:ind w:left="6106" w:hanging="361"/>
      </w:pPr>
      <w:rPr>
        <w:rFonts w:hint="default"/>
        <w:lang w:val="en-US" w:eastAsia="en-US" w:bidi="en-US"/>
      </w:rPr>
    </w:lvl>
    <w:lvl w:ilvl="6" w:tplc="D4263638">
      <w:numFmt w:val="bullet"/>
      <w:lvlText w:val="•"/>
      <w:lvlJc w:val="left"/>
      <w:pPr>
        <w:ind w:left="6813" w:hanging="361"/>
      </w:pPr>
      <w:rPr>
        <w:rFonts w:hint="default"/>
        <w:lang w:val="en-US" w:eastAsia="en-US" w:bidi="en-US"/>
      </w:rPr>
    </w:lvl>
    <w:lvl w:ilvl="7" w:tplc="6A1899F6">
      <w:numFmt w:val="bullet"/>
      <w:lvlText w:val="•"/>
      <w:lvlJc w:val="left"/>
      <w:pPr>
        <w:ind w:left="7520" w:hanging="361"/>
      </w:pPr>
      <w:rPr>
        <w:rFonts w:hint="default"/>
        <w:lang w:val="en-US" w:eastAsia="en-US" w:bidi="en-US"/>
      </w:rPr>
    </w:lvl>
    <w:lvl w:ilvl="8" w:tplc="1CDCAE84">
      <w:numFmt w:val="bullet"/>
      <w:lvlText w:val="•"/>
      <w:lvlJc w:val="left"/>
      <w:pPr>
        <w:ind w:left="8226" w:hanging="361"/>
      </w:pPr>
      <w:rPr>
        <w:rFonts w:hint="default"/>
        <w:lang w:val="en-US" w:eastAsia="en-US" w:bidi="en-US"/>
      </w:rPr>
    </w:lvl>
  </w:abstractNum>
  <w:num w:numId="1" w16cid:durableId="162873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03376"/>
    <w:rsid w:val="001B2CD3"/>
    <w:rsid w:val="00403376"/>
    <w:rsid w:val="0049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7798"/>
  <w15:docId w15:val="{A94922ED-9434-430A-AFDF-B34D02B8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59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ill.hendon@usm.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m.edu/gcrl/fisheries_center/shark.research.progra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creator>jlotz</dc:creator>
  <cp:lastModifiedBy>Millissa Stork</cp:lastModifiedBy>
  <cp:revision>3</cp:revision>
  <dcterms:created xsi:type="dcterms:W3CDTF">2024-02-01T21:42:00Z</dcterms:created>
  <dcterms:modified xsi:type="dcterms:W3CDTF">2024-02-02T16:29:00Z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17 for Word</vt:lpwstr>
  </property>
  <property fmtid="{D5CDD505-2E9C-101B-9397-08002B2CF9AE}" pid="4" name="LastSaved">
    <vt:filetime>2024-02-01T00:00:00Z</vt:filetime>
  </property>
</Properties>
</file>