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44BF1" w14:textId="77777777" w:rsidR="00F01679" w:rsidRPr="00076E65" w:rsidRDefault="00F01679" w:rsidP="00F01679">
      <w:pPr>
        <w:pStyle w:val="NoSpacing"/>
        <w:ind w:left="0"/>
        <w:jc w:val="center"/>
        <w:rPr>
          <w:b/>
          <w:sz w:val="56"/>
          <w:szCs w:val="55"/>
        </w:rPr>
      </w:pPr>
      <w:r w:rsidRPr="00076E65">
        <w:rPr>
          <w:b/>
          <w:sz w:val="56"/>
          <w:szCs w:val="55"/>
        </w:rPr>
        <w:t>STATE OF MISSISSIPPI</w:t>
      </w:r>
    </w:p>
    <w:p w14:paraId="54E20EAD" w14:textId="77777777" w:rsidR="00F01679" w:rsidRPr="004107C2" w:rsidRDefault="00F01679" w:rsidP="00F01679">
      <w:pPr>
        <w:pStyle w:val="NoSpacing"/>
        <w:ind w:left="0"/>
        <w:jc w:val="center"/>
        <w:rPr>
          <w:b/>
          <w:sz w:val="54"/>
          <w:szCs w:val="54"/>
        </w:rPr>
      </w:pPr>
      <w:r>
        <w:rPr>
          <w:b/>
          <w:noProof/>
          <w:sz w:val="55"/>
          <w:szCs w:val="55"/>
        </w:rPr>
        <w:drawing>
          <wp:inline distT="0" distB="0" distL="0" distR="0" wp14:anchorId="1A4AF4B8" wp14:editId="489AE9B9">
            <wp:extent cx="1787201" cy="1552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8632" cy="1571192"/>
                    </a:xfrm>
                    <a:prstGeom prst="rect">
                      <a:avLst/>
                    </a:prstGeom>
                  </pic:spPr>
                </pic:pic>
              </a:graphicData>
            </a:graphic>
          </wp:inline>
        </w:drawing>
      </w:r>
    </w:p>
    <w:p w14:paraId="5626C710" w14:textId="77777777" w:rsidR="003D73C0" w:rsidRDefault="003D73C0" w:rsidP="003D73C0">
      <w:pPr>
        <w:pStyle w:val="NoSpacing"/>
        <w:ind w:left="0"/>
        <w:jc w:val="center"/>
        <w:rPr>
          <w:b/>
          <w:sz w:val="56"/>
          <w:szCs w:val="56"/>
        </w:rPr>
      </w:pPr>
      <w:r>
        <w:rPr>
          <w:b/>
          <w:sz w:val="56"/>
          <w:szCs w:val="56"/>
        </w:rPr>
        <w:t>MISSISSIPPI STATE AGENCIES SELF-INSURED WORKERS’ COMPENSATION TRUST</w:t>
      </w:r>
    </w:p>
    <w:p w14:paraId="386DDB57" w14:textId="77777777" w:rsidR="00F01679" w:rsidRDefault="00F01679" w:rsidP="00F01679">
      <w:pPr>
        <w:pStyle w:val="NoSpacing"/>
        <w:ind w:left="0"/>
        <w:jc w:val="center"/>
        <w:rPr>
          <w:b/>
          <w:sz w:val="44"/>
          <w:szCs w:val="44"/>
        </w:rPr>
      </w:pPr>
    </w:p>
    <w:p w14:paraId="69846029" w14:textId="77777777" w:rsidR="00F01679" w:rsidRPr="004107C2" w:rsidRDefault="00F01679" w:rsidP="00076E65">
      <w:pPr>
        <w:pStyle w:val="NoSpacing"/>
        <w:spacing w:after="120"/>
        <w:ind w:left="0"/>
        <w:jc w:val="center"/>
        <w:rPr>
          <w:b/>
          <w:sz w:val="44"/>
          <w:szCs w:val="44"/>
        </w:rPr>
      </w:pPr>
      <w:r w:rsidRPr="004107C2">
        <w:rPr>
          <w:b/>
          <w:sz w:val="44"/>
          <w:szCs w:val="44"/>
        </w:rPr>
        <w:t>REQUEST FOR PROPOSAL</w:t>
      </w:r>
    </w:p>
    <w:p w14:paraId="1669F0A5" w14:textId="77777777" w:rsidR="00F01679" w:rsidRPr="004107C2" w:rsidRDefault="00F01679" w:rsidP="00076E65">
      <w:pPr>
        <w:pStyle w:val="NoSpacing"/>
        <w:spacing w:after="120"/>
        <w:ind w:left="0"/>
        <w:jc w:val="center"/>
        <w:rPr>
          <w:b/>
          <w:sz w:val="44"/>
          <w:szCs w:val="44"/>
        </w:rPr>
      </w:pPr>
      <w:r>
        <w:rPr>
          <w:b/>
          <w:sz w:val="44"/>
          <w:szCs w:val="44"/>
        </w:rPr>
        <w:t>FOR</w:t>
      </w:r>
    </w:p>
    <w:p w14:paraId="7941A50F" w14:textId="4DD1141A" w:rsidR="00F01679" w:rsidRPr="004107C2" w:rsidRDefault="00CA137E" w:rsidP="00076E65">
      <w:pPr>
        <w:pStyle w:val="NoSpacing"/>
        <w:spacing w:after="120"/>
        <w:ind w:left="0"/>
        <w:jc w:val="center"/>
        <w:rPr>
          <w:b/>
          <w:sz w:val="44"/>
          <w:szCs w:val="44"/>
        </w:rPr>
      </w:pPr>
      <w:r w:rsidRPr="00CA137E">
        <w:rPr>
          <w:b/>
          <w:sz w:val="44"/>
        </w:rPr>
        <w:t>ACTUARIAL CONSULTING</w:t>
      </w:r>
      <w:r w:rsidRPr="00CA137E">
        <w:rPr>
          <w:sz w:val="44"/>
        </w:rPr>
        <w:t xml:space="preserve"> </w:t>
      </w:r>
      <w:r w:rsidR="00F01679" w:rsidRPr="004107C2">
        <w:rPr>
          <w:b/>
          <w:sz w:val="44"/>
          <w:szCs w:val="44"/>
        </w:rPr>
        <w:t>SERVICES</w:t>
      </w:r>
    </w:p>
    <w:p w14:paraId="6666165A" w14:textId="77777777" w:rsidR="00F01679" w:rsidRPr="004107C2" w:rsidRDefault="00F01679" w:rsidP="00F01679">
      <w:pPr>
        <w:pStyle w:val="NoSpacing"/>
        <w:ind w:left="0"/>
        <w:jc w:val="center"/>
        <w:rPr>
          <w:b/>
          <w:sz w:val="44"/>
          <w:szCs w:val="44"/>
        </w:rPr>
      </w:pPr>
    </w:p>
    <w:p w14:paraId="757455BB" w14:textId="04AFD2C7" w:rsidR="00F01679" w:rsidRPr="004107C2" w:rsidRDefault="00403784" w:rsidP="00F01679">
      <w:pPr>
        <w:pStyle w:val="NoSpacing"/>
        <w:ind w:left="0"/>
        <w:jc w:val="center"/>
        <w:rPr>
          <w:b/>
          <w:sz w:val="44"/>
          <w:szCs w:val="44"/>
        </w:rPr>
      </w:pPr>
      <w:r w:rsidRPr="00433DBB">
        <w:rPr>
          <w:b/>
          <w:sz w:val="44"/>
          <w:szCs w:val="44"/>
        </w:rPr>
        <w:t>March 13</w:t>
      </w:r>
      <w:r w:rsidR="00317CF7" w:rsidRPr="00433DBB">
        <w:rPr>
          <w:b/>
          <w:sz w:val="44"/>
          <w:szCs w:val="44"/>
        </w:rPr>
        <w:t>, 2019</w:t>
      </w:r>
    </w:p>
    <w:p w14:paraId="0B09DB60" w14:textId="77777777" w:rsidR="00F01679" w:rsidRDefault="00F01679" w:rsidP="00F01679"/>
    <w:p w14:paraId="1431AFD8" w14:textId="77777777" w:rsidR="00F01679" w:rsidRDefault="00F01679" w:rsidP="00F01679"/>
    <w:p w14:paraId="70FD724E" w14:textId="77777777" w:rsidR="00076E65" w:rsidRDefault="00076E65" w:rsidP="00F01679"/>
    <w:p w14:paraId="5133AD43" w14:textId="27332ACB" w:rsidR="00F01679" w:rsidRPr="004107C2" w:rsidRDefault="00F01679" w:rsidP="00F01679">
      <w:r>
        <w:t>C</w:t>
      </w:r>
      <w:r w:rsidRPr="004107C2">
        <w:t>ontact information for this request for proposal:</w:t>
      </w:r>
    </w:p>
    <w:p w14:paraId="468ABB3B" w14:textId="0C9389B3" w:rsidR="00F01679" w:rsidRPr="004107C2" w:rsidRDefault="003D73C0" w:rsidP="00F01679">
      <w:pPr>
        <w:pStyle w:val="Indent"/>
        <w:spacing w:before="0" w:after="0"/>
        <w:ind w:hanging="547"/>
      </w:pPr>
      <w:r>
        <w:t>Workers Compensation</w:t>
      </w:r>
      <w:r w:rsidR="002E3AF3">
        <w:t xml:space="preserve"> </w:t>
      </w:r>
      <w:r w:rsidR="00F01679">
        <w:t xml:space="preserve">Actuarial </w:t>
      </w:r>
      <w:r w:rsidR="00CA137E">
        <w:t xml:space="preserve">Consulting </w:t>
      </w:r>
      <w:r w:rsidR="00F01679" w:rsidRPr="004107C2">
        <w:t>Services RFP</w:t>
      </w:r>
    </w:p>
    <w:p w14:paraId="533DA2BF" w14:textId="77777777" w:rsidR="00F01679" w:rsidRPr="004107C2" w:rsidRDefault="00F01679" w:rsidP="00F01679">
      <w:pPr>
        <w:pStyle w:val="NoSpacing"/>
        <w:spacing w:after="0"/>
        <w:ind w:left="547" w:hanging="547"/>
      </w:pPr>
      <w:proofErr w:type="gramStart"/>
      <w:r w:rsidRPr="004107C2">
        <w:t>c/o</w:t>
      </w:r>
      <w:proofErr w:type="gramEnd"/>
      <w:r w:rsidRPr="004107C2">
        <w:t xml:space="preserve"> DFA - Office of Insurance</w:t>
      </w:r>
    </w:p>
    <w:p w14:paraId="7E994AD5" w14:textId="77777777" w:rsidR="00F01679" w:rsidRPr="004107C2" w:rsidRDefault="00F01679" w:rsidP="00F01679">
      <w:pPr>
        <w:pStyle w:val="Indent"/>
        <w:spacing w:before="0" w:after="0"/>
        <w:ind w:hanging="547"/>
      </w:pPr>
      <w:r w:rsidRPr="004107C2">
        <w:t>501 North West Street</w:t>
      </w:r>
    </w:p>
    <w:p w14:paraId="59D8B83A" w14:textId="77777777" w:rsidR="00F01679" w:rsidRPr="004107C2" w:rsidRDefault="00F01679" w:rsidP="00F01679">
      <w:pPr>
        <w:pStyle w:val="Indent"/>
        <w:spacing w:before="0" w:after="0"/>
        <w:ind w:left="540" w:hanging="547"/>
      </w:pPr>
      <w:r w:rsidRPr="004107C2">
        <w:t>Suite 901-B Woolfolk Building</w:t>
      </w:r>
    </w:p>
    <w:p w14:paraId="6A2063CE" w14:textId="77777777" w:rsidR="00F01679" w:rsidRPr="004107C2" w:rsidRDefault="00F01679" w:rsidP="00F01679">
      <w:pPr>
        <w:pStyle w:val="Indent"/>
        <w:spacing w:before="0" w:after="0"/>
        <w:ind w:left="540" w:hanging="547"/>
      </w:pPr>
      <w:r w:rsidRPr="004107C2">
        <w:t>Jackson, Mississippi 39201</w:t>
      </w:r>
    </w:p>
    <w:p w14:paraId="77A1D4C3" w14:textId="77777777" w:rsidR="00F01679" w:rsidRDefault="006C2D52" w:rsidP="00F01679">
      <w:pPr>
        <w:pStyle w:val="Indent"/>
        <w:spacing w:before="0" w:after="0"/>
        <w:ind w:left="540" w:hanging="547"/>
        <w:rPr>
          <w:rStyle w:val="Hyperlink"/>
        </w:rPr>
      </w:pPr>
      <w:hyperlink r:id="rId9" w:history="1">
        <w:r w:rsidR="00F01679" w:rsidRPr="00F3230C">
          <w:rPr>
            <w:rStyle w:val="Hyperlink"/>
          </w:rPr>
          <w:t>InsuranceRFP@dfa.ms.gov</w:t>
        </w:r>
      </w:hyperlink>
    </w:p>
    <w:p w14:paraId="166C3182" w14:textId="77777777" w:rsidR="00EE30E7" w:rsidRDefault="00EE30E7">
      <w:pPr>
        <w:pStyle w:val="Title"/>
        <w:rPr>
          <w:sz w:val="56"/>
        </w:rPr>
        <w:sectPr w:rsidR="00EE30E7" w:rsidSect="00BC2196">
          <w:footerReference w:type="even" r:id="rId10"/>
          <w:footerReference w:type="default" r:id="rId11"/>
          <w:pgSz w:w="12240" w:h="15840"/>
          <w:pgMar w:top="1440" w:right="1080" w:bottom="1440" w:left="1440" w:header="720" w:footer="720" w:gutter="0"/>
          <w:pgNumType w:fmt="lowerRoman" w:start="1"/>
          <w:cols w:space="720"/>
          <w:titlePg/>
          <w:docGrid w:linePitch="360"/>
        </w:sectPr>
      </w:pPr>
    </w:p>
    <w:sdt>
      <w:sdtPr>
        <w:rPr>
          <w:rFonts w:ascii="Times New Roman" w:hAnsi="Times New Roman"/>
          <w:b w:val="0"/>
          <w:bCs w:val="0"/>
          <w:color w:val="auto"/>
          <w:sz w:val="24"/>
          <w:szCs w:val="24"/>
        </w:rPr>
        <w:id w:val="-520390685"/>
        <w:docPartObj>
          <w:docPartGallery w:val="Table of Contents"/>
          <w:docPartUnique/>
        </w:docPartObj>
      </w:sdtPr>
      <w:sdtEndPr>
        <w:rPr>
          <w:noProof/>
        </w:rPr>
      </w:sdtEndPr>
      <w:sdtContent>
        <w:p w14:paraId="45BDC638" w14:textId="77777777" w:rsidR="00D1375F" w:rsidRDefault="00D1375F">
          <w:pPr>
            <w:pStyle w:val="TOCHeading"/>
          </w:pPr>
          <w:r>
            <w:t>Contents</w:t>
          </w:r>
        </w:p>
        <w:p w14:paraId="38ABA949" w14:textId="4B0F8C9B" w:rsidR="00001B1F" w:rsidRDefault="00D1375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360001" w:history="1">
            <w:r w:rsidR="00001B1F" w:rsidRPr="00303A84">
              <w:rPr>
                <w:rStyle w:val="Hyperlink"/>
                <w:noProof/>
              </w:rPr>
              <w:t>Section 1. INTRODUCTION</w:t>
            </w:r>
            <w:r w:rsidR="00001B1F">
              <w:rPr>
                <w:noProof/>
                <w:webHidden/>
              </w:rPr>
              <w:tab/>
            </w:r>
            <w:r w:rsidR="00001B1F">
              <w:rPr>
                <w:noProof/>
                <w:webHidden/>
              </w:rPr>
              <w:fldChar w:fldCharType="begin"/>
            </w:r>
            <w:r w:rsidR="00001B1F">
              <w:rPr>
                <w:noProof/>
                <w:webHidden/>
              </w:rPr>
              <w:instrText xml:space="preserve"> PAGEREF _Toc3360001 \h </w:instrText>
            </w:r>
            <w:r w:rsidR="00001B1F">
              <w:rPr>
                <w:noProof/>
                <w:webHidden/>
              </w:rPr>
            </w:r>
            <w:r w:rsidR="00001B1F">
              <w:rPr>
                <w:noProof/>
                <w:webHidden/>
              </w:rPr>
              <w:fldChar w:fldCharType="separate"/>
            </w:r>
            <w:r w:rsidR="00001B1F">
              <w:rPr>
                <w:noProof/>
                <w:webHidden/>
              </w:rPr>
              <w:t>4</w:t>
            </w:r>
            <w:r w:rsidR="00001B1F">
              <w:rPr>
                <w:noProof/>
                <w:webHidden/>
              </w:rPr>
              <w:fldChar w:fldCharType="end"/>
            </w:r>
          </w:hyperlink>
        </w:p>
        <w:p w14:paraId="2C8A31C2" w14:textId="5CA2D01B" w:rsidR="00001B1F" w:rsidRDefault="006C2D52">
          <w:pPr>
            <w:pStyle w:val="TOC2"/>
            <w:rPr>
              <w:rFonts w:asciiTheme="minorHAnsi" w:eastAsiaTheme="minorEastAsia" w:hAnsiTheme="minorHAnsi" w:cstheme="minorBidi"/>
              <w:noProof/>
              <w:sz w:val="22"/>
              <w:szCs w:val="22"/>
            </w:rPr>
          </w:pPr>
          <w:hyperlink w:anchor="_Toc3360002" w:history="1">
            <w:r w:rsidR="00001B1F" w:rsidRPr="00303A84">
              <w:rPr>
                <w:rStyle w:val="Hyperlink"/>
                <w:noProof/>
              </w:rPr>
              <w:t>1.1</w:t>
            </w:r>
            <w:r w:rsidR="00001B1F">
              <w:rPr>
                <w:rFonts w:asciiTheme="minorHAnsi" w:eastAsiaTheme="minorEastAsia" w:hAnsiTheme="minorHAnsi" w:cstheme="minorBidi"/>
                <w:noProof/>
                <w:sz w:val="22"/>
                <w:szCs w:val="22"/>
              </w:rPr>
              <w:tab/>
            </w:r>
            <w:r w:rsidR="00001B1F" w:rsidRPr="00303A84">
              <w:rPr>
                <w:rStyle w:val="Hyperlink"/>
                <w:noProof/>
              </w:rPr>
              <w:t>Overview and Process</w:t>
            </w:r>
            <w:r w:rsidR="00001B1F">
              <w:rPr>
                <w:noProof/>
                <w:webHidden/>
              </w:rPr>
              <w:tab/>
            </w:r>
            <w:r w:rsidR="00001B1F">
              <w:rPr>
                <w:noProof/>
                <w:webHidden/>
              </w:rPr>
              <w:fldChar w:fldCharType="begin"/>
            </w:r>
            <w:r w:rsidR="00001B1F">
              <w:rPr>
                <w:noProof/>
                <w:webHidden/>
              </w:rPr>
              <w:instrText xml:space="preserve"> PAGEREF _Toc3360002 \h </w:instrText>
            </w:r>
            <w:r w:rsidR="00001B1F">
              <w:rPr>
                <w:noProof/>
                <w:webHidden/>
              </w:rPr>
            </w:r>
            <w:r w:rsidR="00001B1F">
              <w:rPr>
                <w:noProof/>
                <w:webHidden/>
              </w:rPr>
              <w:fldChar w:fldCharType="separate"/>
            </w:r>
            <w:r w:rsidR="00001B1F">
              <w:rPr>
                <w:noProof/>
                <w:webHidden/>
              </w:rPr>
              <w:t>4</w:t>
            </w:r>
            <w:r w:rsidR="00001B1F">
              <w:rPr>
                <w:noProof/>
                <w:webHidden/>
              </w:rPr>
              <w:fldChar w:fldCharType="end"/>
            </w:r>
          </w:hyperlink>
        </w:p>
        <w:p w14:paraId="4CA3A9F4" w14:textId="6D6C72B1" w:rsidR="00001B1F" w:rsidRDefault="006C2D52">
          <w:pPr>
            <w:pStyle w:val="TOC2"/>
            <w:rPr>
              <w:rFonts w:asciiTheme="minorHAnsi" w:eastAsiaTheme="minorEastAsia" w:hAnsiTheme="minorHAnsi" w:cstheme="minorBidi"/>
              <w:noProof/>
              <w:sz w:val="22"/>
              <w:szCs w:val="22"/>
            </w:rPr>
          </w:pPr>
          <w:hyperlink w:anchor="_Toc3360003" w:history="1">
            <w:r w:rsidR="00001B1F" w:rsidRPr="00303A84">
              <w:rPr>
                <w:rStyle w:val="Hyperlink"/>
                <w:noProof/>
              </w:rPr>
              <w:t>1.2</w:t>
            </w:r>
            <w:r w:rsidR="00001B1F">
              <w:rPr>
                <w:rFonts w:asciiTheme="minorHAnsi" w:eastAsiaTheme="minorEastAsia" w:hAnsiTheme="minorHAnsi" w:cstheme="minorBidi"/>
                <w:noProof/>
                <w:sz w:val="22"/>
                <w:szCs w:val="22"/>
              </w:rPr>
              <w:tab/>
            </w:r>
            <w:r w:rsidR="00001B1F" w:rsidRPr="00303A84">
              <w:rPr>
                <w:rStyle w:val="Hyperlink"/>
                <w:noProof/>
              </w:rPr>
              <w:t>Purpose and Goals</w:t>
            </w:r>
            <w:r w:rsidR="00001B1F">
              <w:rPr>
                <w:noProof/>
                <w:webHidden/>
              </w:rPr>
              <w:tab/>
            </w:r>
            <w:r w:rsidR="00001B1F">
              <w:rPr>
                <w:noProof/>
                <w:webHidden/>
              </w:rPr>
              <w:fldChar w:fldCharType="begin"/>
            </w:r>
            <w:r w:rsidR="00001B1F">
              <w:rPr>
                <w:noProof/>
                <w:webHidden/>
              </w:rPr>
              <w:instrText xml:space="preserve"> PAGEREF _Toc3360003 \h </w:instrText>
            </w:r>
            <w:r w:rsidR="00001B1F">
              <w:rPr>
                <w:noProof/>
                <w:webHidden/>
              </w:rPr>
            </w:r>
            <w:r w:rsidR="00001B1F">
              <w:rPr>
                <w:noProof/>
                <w:webHidden/>
              </w:rPr>
              <w:fldChar w:fldCharType="separate"/>
            </w:r>
            <w:r w:rsidR="00001B1F">
              <w:rPr>
                <w:noProof/>
                <w:webHidden/>
              </w:rPr>
              <w:t>6</w:t>
            </w:r>
            <w:r w:rsidR="00001B1F">
              <w:rPr>
                <w:noProof/>
                <w:webHidden/>
              </w:rPr>
              <w:fldChar w:fldCharType="end"/>
            </w:r>
          </w:hyperlink>
        </w:p>
        <w:p w14:paraId="3DBBE49C" w14:textId="4383A56D" w:rsidR="00001B1F" w:rsidRDefault="006C2D52">
          <w:pPr>
            <w:pStyle w:val="TOC2"/>
            <w:rPr>
              <w:rFonts w:asciiTheme="minorHAnsi" w:eastAsiaTheme="minorEastAsia" w:hAnsiTheme="minorHAnsi" w:cstheme="minorBidi"/>
              <w:noProof/>
              <w:sz w:val="22"/>
              <w:szCs w:val="22"/>
            </w:rPr>
          </w:pPr>
          <w:hyperlink w:anchor="_Toc3360004" w:history="1">
            <w:r w:rsidR="00001B1F" w:rsidRPr="00303A84">
              <w:rPr>
                <w:rStyle w:val="Hyperlink"/>
                <w:noProof/>
              </w:rPr>
              <w:t>1.3</w:t>
            </w:r>
            <w:r w:rsidR="00001B1F">
              <w:rPr>
                <w:rFonts w:asciiTheme="minorHAnsi" w:eastAsiaTheme="minorEastAsia" w:hAnsiTheme="minorHAnsi" w:cstheme="minorBidi"/>
                <w:noProof/>
                <w:sz w:val="22"/>
                <w:szCs w:val="22"/>
              </w:rPr>
              <w:tab/>
            </w:r>
            <w:r w:rsidR="00001B1F" w:rsidRPr="00303A84">
              <w:rPr>
                <w:rStyle w:val="Hyperlink"/>
                <w:noProof/>
              </w:rPr>
              <w:t>Instructions to Proposers</w:t>
            </w:r>
            <w:r w:rsidR="00001B1F">
              <w:rPr>
                <w:noProof/>
                <w:webHidden/>
              </w:rPr>
              <w:tab/>
            </w:r>
            <w:r w:rsidR="00001B1F">
              <w:rPr>
                <w:noProof/>
                <w:webHidden/>
              </w:rPr>
              <w:fldChar w:fldCharType="begin"/>
            </w:r>
            <w:r w:rsidR="00001B1F">
              <w:rPr>
                <w:noProof/>
                <w:webHidden/>
              </w:rPr>
              <w:instrText xml:space="preserve"> PAGEREF _Toc3360004 \h </w:instrText>
            </w:r>
            <w:r w:rsidR="00001B1F">
              <w:rPr>
                <w:noProof/>
                <w:webHidden/>
              </w:rPr>
            </w:r>
            <w:r w:rsidR="00001B1F">
              <w:rPr>
                <w:noProof/>
                <w:webHidden/>
              </w:rPr>
              <w:fldChar w:fldCharType="separate"/>
            </w:r>
            <w:r w:rsidR="00001B1F">
              <w:rPr>
                <w:noProof/>
                <w:webHidden/>
              </w:rPr>
              <w:t>6</w:t>
            </w:r>
            <w:r w:rsidR="00001B1F">
              <w:rPr>
                <w:noProof/>
                <w:webHidden/>
              </w:rPr>
              <w:fldChar w:fldCharType="end"/>
            </w:r>
          </w:hyperlink>
        </w:p>
        <w:p w14:paraId="6C3E0EE2" w14:textId="6289AA44" w:rsidR="00001B1F" w:rsidRDefault="006C2D52">
          <w:pPr>
            <w:pStyle w:val="TOC2"/>
            <w:rPr>
              <w:rFonts w:asciiTheme="minorHAnsi" w:eastAsiaTheme="minorEastAsia" w:hAnsiTheme="minorHAnsi" w:cstheme="minorBidi"/>
              <w:noProof/>
              <w:sz w:val="22"/>
              <w:szCs w:val="22"/>
            </w:rPr>
          </w:pPr>
          <w:hyperlink w:anchor="_Toc3360005" w:history="1">
            <w:r w:rsidR="00001B1F" w:rsidRPr="00303A84">
              <w:rPr>
                <w:rStyle w:val="Hyperlink"/>
                <w:noProof/>
              </w:rPr>
              <w:t>1.4</w:t>
            </w:r>
            <w:r w:rsidR="00001B1F">
              <w:rPr>
                <w:rFonts w:asciiTheme="minorHAnsi" w:eastAsiaTheme="minorEastAsia" w:hAnsiTheme="minorHAnsi" w:cstheme="minorBidi"/>
                <w:noProof/>
                <w:sz w:val="22"/>
                <w:szCs w:val="22"/>
              </w:rPr>
              <w:tab/>
            </w:r>
            <w:r w:rsidR="00001B1F" w:rsidRPr="00303A84">
              <w:rPr>
                <w:rStyle w:val="Hyperlink"/>
                <w:noProof/>
              </w:rPr>
              <w:t>Important Dates</w:t>
            </w:r>
            <w:r w:rsidR="00001B1F">
              <w:rPr>
                <w:noProof/>
                <w:webHidden/>
              </w:rPr>
              <w:tab/>
            </w:r>
            <w:r w:rsidR="00001B1F">
              <w:rPr>
                <w:noProof/>
                <w:webHidden/>
              </w:rPr>
              <w:fldChar w:fldCharType="begin"/>
            </w:r>
            <w:r w:rsidR="00001B1F">
              <w:rPr>
                <w:noProof/>
                <w:webHidden/>
              </w:rPr>
              <w:instrText xml:space="preserve"> PAGEREF _Toc3360005 \h </w:instrText>
            </w:r>
            <w:r w:rsidR="00001B1F">
              <w:rPr>
                <w:noProof/>
                <w:webHidden/>
              </w:rPr>
            </w:r>
            <w:r w:rsidR="00001B1F">
              <w:rPr>
                <w:noProof/>
                <w:webHidden/>
              </w:rPr>
              <w:fldChar w:fldCharType="separate"/>
            </w:r>
            <w:r w:rsidR="00001B1F">
              <w:rPr>
                <w:noProof/>
                <w:webHidden/>
              </w:rPr>
              <w:t>8</w:t>
            </w:r>
            <w:r w:rsidR="00001B1F">
              <w:rPr>
                <w:noProof/>
                <w:webHidden/>
              </w:rPr>
              <w:fldChar w:fldCharType="end"/>
            </w:r>
          </w:hyperlink>
        </w:p>
        <w:p w14:paraId="23CDE89E" w14:textId="5BB8C7D5" w:rsidR="00001B1F" w:rsidRDefault="006C2D52">
          <w:pPr>
            <w:pStyle w:val="TOC2"/>
            <w:rPr>
              <w:rFonts w:asciiTheme="minorHAnsi" w:eastAsiaTheme="minorEastAsia" w:hAnsiTheme="minorHAnsi" w:cstheme="minorBidi"/>
              <w:noProof/>
              <w:sz w:val="22"/>
              <w:szCs w:val="22"/>
            </w:rPr>
          </w:pPr>
          <w:hyperlink w:anchor="_Toc3360006" w:history="1">
            <w:r w:rsidR="00001B1F" w:rsidRPr="00303A84">
              <w:rPr>
                <w:rStyle w:val="Hyperlink"/>
                <w:noProof/>
              </w:rPr>
              <w:t>1.5</w:t>
            </w:r>
            <w:r w:rsidR="00001B1F">
              <w:rPr>
                <w:rFonts w:asciiTheme="minorHAnsi" w:eastAsiaTheme="minorEastAsia" w:hAnsiTheme="minorHAnsi" w:cstheme="minorBidi"/>
                <w:noProof/>
                <w:sz w:val="22"/>
                <w:szCs w:val="22"/>
              </w:rPr>
              <w:tab/>
            </w:r>
            <w:r w:rsidR="00001B1F" w:rsidRPr="00303A84">
              <w:rPr>
                <w:rStyle w:val="Hyperlink"/>
                <w:noProof/>
              </w:rPr>
              <w:t>Intent to Propose</w:t>
            </w:r>
            <w:r w:rsidR="00001B1F">
              <w:rPr>
                <w:noProof/>
                <w:webHidden/>
              </w:rPr>
              <w:tab/>
            </w:r>
            <w:r w:rsidR="00001B1F">
              <w:rPr>
                <w:noProof/>
                <w:webHidden/>
              </w:rPr>
              <w:fldChar w:fldCharType="begin"/>
            </w:r>
            <w:r w:rsidR="00001B1F">
              <w:rPr>
                <w:noProof/>
                <w:webHidden/>
              </w:rPr>
              <w:instrText xml:space="preserve"> PAGEREF _Toc3360006 \h </w:instrText>
            </w:r>
            <w:r w:rsidR="00001B1F">
              <w:rPr>
                <w:noProof/>
                <w:webHidden/>
              </w:rPr>
            </w:r>
            <w:r w:rsidR="00001B1F">
              <w:rPr>
                <w:noProof/>
                <w:webHidden/>
              </w:rPr>
              <w:fldChar w:fldCharType="separate"/>
            </w:r>
            <w:r w:rsidR="00001B1F">
              <w:rPr>
                <w:noProof/>
                <w:webHidden/>
              </w:rPr>
              <w:t>9</w:t>
            </w:r>
            <w:r w:rsidR="00001B1F">
              <w:rPr>
                <w:noProof/>
                <w:webHidden/>
              </w:rPr>
              <w:fldChar w:fldCharType="end"/>
            </w:r>
          </w:hyperlink>
        </w:p>
        <w:p w14:paraId="2D61BA42" w14:textId="7436AEB6" w:rsidR="00001B1F" w:rsidRDefault="006C2D52">
          <w:pPr>
            <w:pStyle w:val="TOC2"/>
            <w:rPr>
              <w:rFonts w:asciiTheme="minorHAnsi" w:eastAsiaTheme="minorEastAsia" w:hAnsiTheme="minorHAnsi" w:cstheme="minorBidi"/>
              <w:noProof/>
              <w:sz w:val="22"/>
              <w:szCs w:val="22"/>
            </w:rPr>
          </w:pPr>
          <w:hyperlink w:anchor="_Toc3360007" w:history="1">
            <w:r w:rsidR="00001B1F" w:rsidRPr="00303A84">
              <w:rPr>
                <w:rStyle w:val="Hyperlink"/>
                <w:noProof/>
              </w:rPr>
              <w:t>1.6</w:t>
            </w:r>
            <w:r w:rsidR="00001B1F">
              <w:rPr>
                <w:rFonts w:asciiTheme="minorHAnsi" w:eastAsiaTheme="minorEastAsia" w:hAnsiTheme="minorHAnsi" w:cstheme="minorBidi"/>
                <w:noProof/>
                <w:sz w:val="22"/>
                <w:szCs w:val="22"/>
              </w:rPr>
              <w:tab/>
            </w:r>
            <w:r w:rsidR="00001B1F" w:rsidRPr="00303A84">
              <w:rPr>
                <w:rStyle w:val="Hyperlink"/>
                <w:noProof/>
              </w:rPr>
              <w:t>Questions and Acknowledgment of Responses</w:t>
            </w:r>
            <w:r w:rsidR="00001B1F">
              <w:rPr>
                <w:noProof/>
                <w:webHidden/>
              </w:rPr>
              <w:tab/>
            </w:r>
            <w:r w:rsidR="00001B1F">
              <w:rPr>
                <w:noProof/>
                <w:webHidden/>
              </w:rPr>
              <w:fldChar w:fldCharType="begin"/>
            </w:r>
            <w:r w:rsidR="00001B1F">
              <w:rPr>
                <w:noProof/>
                <w:webHidden/>
              </w:rPr>
              <w:instrText xml:space="preserve"> PAGEREF _Toc3360007 \h </w:instrText>
            </w:r>
            <w:r w:rsidR="00001B1F">
              <w:rPr>
                <w:noProof/>
                <w:webHidden/>
              </w:rPr>
            </w:r>
            <w:r w:rsidR="00001B1F">
              <w:rPr>
                <w:noProof/>
                <w:webHidden/>
              </w:rPr>
              <w:fldChar w:fldCharType="separate"/>
            </w:r>
            <w:r w:rsidR="00001B1F">
              <w:rPr>
                <w:noProof/>
                <w:webHidden/>
              </w:rPr>
              <w:t>9</w:t>
            </w:r>
            <w:r w:rsidR="00001B1F">
              <w:rPr>
                <w:noProof/>
                <w:webHidden/>
              </w:rPr>
              <w:fldChar w:fldCharType="end"/>
            </w:r>
          </w:hyperlink>
        </w:p>
        <w:p w14:paraId="19334D0C" w14:textId="70D71053" w:rsidR="00001B1F" w:rsidRDefault="006C2D52">
          <w:pPr>
            <w:pStyle w:val="TOC2"/>
            <w:rPr>
              <w:rFonts w:asciiTheme="minorHAnsi" w:eastAsiaTheme="minorEastAsia" w:hAnsiTheme="minorHAnsi" w:cstheme="minorBidi"/>
              <w:noProof/>
              <w:sz w:val="22"/>
              <w:szCs w:val="22"/>
            </w:rPr>
          </w:pPr>
          <w:hyperlink w:anchor="_Toc3360008" w:history="1">
            <w:r w:rsidR="00001B1F" w:rsidRPr="00303A84">
              <w:rPr>
                <w:rStyle w:val="Hyperlink"/>
                <w:noProof/>
              </w:rPr>
              <w:t>1.7</w:t>
            </w:r>
            <w:r w:rsidR="00001B1F">
              <w:rPr>
                <w:rFonts w:asciiTheme="minorHAnsi" w:eastAsiaTheme="minorEastAsia" w:hAnsiTheme="minorHAnsi" w:cstheme="minorBidi"/>
                <w:noProof/>
                <w:sz w:val="22"/>
                <w:szCs w:val="22"/>
              </w:rPr>
              <w:tab/>
            </w:r>
            <w:r w:rsidR="00001B1F" w:rsidRPr="00303A84">
              <w:rPr>
                <w:rStyle w:val="Hyperlink"/>
                <w:noProof/>
              </w:rPr>
              <w:t>Statement of Compliance Requirement</w:t>
            </w:r>
            <w:r w:rsidR="00001B1F">
              <w:rPr>
                <w:noProof/>
                <w:webHidden/>
              </w:rPr>
              <w:tab/>
            </w:r>
            <w:r w:rsidR="00001B1F">
              <w:rPr>
                <w:noProof/>
                <w:webHidden/>
              </w:rPr>
              <w:fldChar w:fldCharType="begin"/>
            </w:r>
            <w:r w:rsidR="00001B1F">
              <w:rPr>
                <w:noProof/>
                <w:webHidden/>
              </w:rPr>
              <w:instrText xml:space="preserve"> PAGEREF _Toc3360008 \h </w:instrText>
            </w:r>
            <w:r w:rsidR="00001B1F">
              <w:rPr>
                <w:noProof/>
                <w:webHidden/>
              </w:rPr>
            </w:r>
            <w:r w:rsidR="00001B1F">
              <w:rPr>
                <w:noProof/>
                <w:webHidden/>
              </w:rPr>
              <w:fldChar w:fldCharType="separate"/>
            </w:r>
            <w:r w:rsidR="00001B1F">
              <w:rPr>
                <w:noProof/>
                <w:webHidden/>
              </w:rPr>
              <w:t>9</w:t>
            </w:r>
            <w:r w:rsidR="00001B1F">
              <w:rPr>
                <w:noProof/>
                <w:webHidden/>
              </w:rPr>
              <w:fldChar w:fldCharType="end"/>
            </w:r>
          </w:hyperlink>
        </w:p>
        <w:p w14:paraId="601F7B62" w14:textId="139DC824" w:rsidR="00001B1F" w:rsidRDefault="006C2D52">
          <w:pPr>
            <w:pStyle w:val="TOC2"/>
            <w:rPr>
              <w:rFonts w:asciiTheme="minorHAnsi" w:eastAsiaTheme="minorEastAsia" w:hAnsiTheme="minorHAnsi" w:cstheme="minorBidi"/>
              <w:noProof/>
              <w:sz w:val="22"/>
              <w:szCs w:val="22"/>
            </w:rPr>
          </w:pPr>
          <w:hyperlink w:anchor="_Toc3360009" w:history="1">
            <w:r w:rsidR="00001B1F" w:rsidRPr="00303A84">
              <w:rPr>
                <w:rStyle w:val="Hyperlink"/>
                <w:noProof/>
              </w:rPr>
              <w:t>1.8</w:t>
            </w:r>
            <w:r w:rsidR="00001B1F">
              <w:rPr>
                <w:rFonts w:asciiTheme="minorHAnsi" w:eastAsiaTheme="minorEastAsia" w:hAnsiTheme="minorHAnsi" w:cstheme="minorBidi"/>
                <w:noProof/>
                <w:sz w:val="22"/>
                <w:szCs w:val="22"/>
              </w:rPr>
              <w:tab/>
            </w:r>
            <w:r w:rsidR="00001B1F" w:rsidRPr="00303A84">
              <w:rPr>
                <w:rStyle w:val="Hyperlink"/>
                <w:noProof/>
              </w:rPr>
              <w:t>Corrections and Clarifications</w:t>
            </w:r>
            <w:r w:rsidR="00001B1F">
              <w:rPr>
                <w:noProof/>
                <w:webHidden/>
              </w:rPr>
              <w:tab/>
            </w:r>
            <w:r w:rsidR="00001B1F">
              <w:rPr>
                <w:noProof/>
                <w:webHidden/>
              </w:rPr>
              <w:fldChar w:fldCharType="begin"/>
            </w:r>
            <w:r w:rsidR="00001B1F">
              <w:rPr>
                <w:noProof/>
                <w:webHidden/>
              </w:rPr>
              <w:instrText xml:space="preserve"> PAGEREF _Toc3360009 \h </w:instrText>
            </w:r>
            <w:r w:rsidR="00001B1F">
              <w:rPr>
                <w:noProof/>
                <w:webHidden/>
              </w:rPr>
            </w:r>
            <w:r w:rsidR="00001B1F">
              <w:rPr>
                <w:noProof/>
                <w:webHidden/>
              </w:rPr>
              <w:fldChar w:fldCharType="separate"/>
            </w:r>
            <w:r w:rsidR="00001B1F">
              <w:rPr>
                <w:noProof/>
                <w:webHidden/>
              </w:rPr>
              <w:t>9</w:t>
            </w:r>
            <w:r w:rsidR="00001B1F">
              <w:rPr>
                <w:noProof/>
                <w:webHidden/>
              </w:rPr>
              <w:fldChar w:fldCharType="end"/>
            </w:r>
          </w:hyperlink>
        </w:p>
        <w:p w14:paraId="32CD3705" w14:textId="4E92B8D2" w:rsidR="00001B1F" w:rsidRDefault="006C2D52">
          <w:pPr>
            <w:pStyle w:val="TOC2"/>
            <w:rPr>
              <w:rFonts w:asciiTheme="minorHAnsi" w:eastAsiaTheme="minorEastAsia" w:hAnsiTheme="minorHAnsi" w:cstheme="minorBidi"/>
              <w:noProof/>
              <w:sz w:val="22"/>
              <w:szCs w:val="22"/>
            </w:rPr>
          </w:pPr>
          <w:hyperlink w:anchor="_Toc3360010" w:history="1">
            <w:r w:rsidR="00001B1F" w:rsidRPr="00303A84">
              <w:rPr>
                <w:rStyle w:val="Hyperlink"/>
                <w:noProof/>
              </w:rPr>
              <w:t>1.9</w:t>
            </w:r>
            <w:r w:rsidR="00001B1F">
              <w:rPr>
                <w:rFonts w:asciiTheme="minorHAnsi" w:eastAsiaTheme="minorEastAsia" w:hAnsiTheme="minorHAnsi" w:cstheme="minorBidi"/>
                <w:noProof/>
                <w:sz w:val="22"/>
                <w:szCs w:val="22"/>
              </w:rPr>
              <w:tab/>
            </w:r>
            <w:r w:rsidR="00001B1F" w:rsidRPr="00303A84">
              <w:rPr>
                <w:rStyle w:val="Hyperlink"/>
                <w:noProof/>
              </w:rPr>
              <w:t>Right of Negotiation</w:t>
            </w:r>
            <w:r w:rsidR="00001B1F">
              <w:rPr>
                <w:noProof/>
                <w:webHidden/>
              </w:rPr>
              <w:tab/>
            </w:r>
            <w:r w:rsidR="00001B1F">
              <w:rPr>
                <w:noProof/>
                <w:webHidden/>
              </w:rPr>
              <w:fldChar w:fldCharType="begin"/>
            </w:r>
            <w:r w:rsidR="00001B1F">
              <w:rPr>
                <w:noProof/>
                <w:webHidden/>
              </w:rPr>
              <w:instrText xml:space="preserve"> PAGEREF _Toc3360010 \h </w:instrText>
            </w:r>
            <w:r w:rsidR="00001B1F">
              <w:rPr>
                <w:noProof/>
                <w:webHidden/>
              </w:rPr>
            </w:r>
            <w:r w:rsidR="00001B1F">
              <w:rPr>
                <w:noProof/>
                <w:webHidden/>
              </w:rPr>
              <w:fldChar w:fldCharType="separate"/>
            </w:r>
            <w:r w:rsidR="00001B1F">
              <w:rPr>
                <w:noProof/>
                <w:webHidden/>
              </w:rPr>
              <w:t>9</w:t>
            </w:r>
            <w:r w:rsidR="00001B1F">
              <w:rPr>
                <w:noProof/>
                <w:webHidden/>
              </w:rPr>
              <w:fldChar w:fldCharType="end"/>
            </w:r>
          </w:hyperlink>
        </w:p>
        <w:p w14:paraId="05C47B2F" w14:textId="3365C5F3" w:rsidR="00001B1F" w:rsidRDefault="006C2D52">
          <w:pPr>
            <w:pStyle w:val="TOC2"/>
            <w:rPr>
              <w:rFonts w:asciiTheme="minorHAnsi" w:eastAsiaTheme="minorEastAsia" w:hAnsiTheme="minorHAnsi" w:cstheme="minorBidi"/>
              <w:noProof/>
              <w:sz w:val="22"/>
              <w:szCs w:val="22"/>
            </w:rPr>
          </w:pPr>
          <w:hyperlink w:anchor="_Toc3360011" w:history="1">
            <w:r w:rsidR="00001B1F" w:rsidRPr="00303A84">
              <w:rPr>
                <w:rStyle w:val="Hyperlink"/>
                <w:noProof/>
              </w:rPr>
              <w:t>1.10</w:t>
            </w:r>
            <w:r w:rsidR="00001B1F">
              <w:rPr>
                <w:rFonts w:asciiTheme="minorHAnsi" w:eastAsiaTheme="minorEastAsia" w:hAnsiTheme="minorHAnsi" w:cstheme="minorBidi"/>
                <w:noProof/>
                <w:sz w:val="22"/>
                <w:szCs w:val="22"/>
              </w:rPr>
              <w:tab/>
            </w:r>
            <w:r w:rsidR="00001B1F" w:rsidRPr="00303A84">
              <w:rPr>
                <w:rStyle w:val="Hyperlink"/>
                <w:noProof/>
              </w:rPr>
              <w:t>Acknowledgment of RFP Amendments</w:t>
            </w:r>
            <w:r w:rsidR="00001B1F">
              <w:rPr>
                <w:noProof/>
                <w:webHidden/>
              </w:rPr>
              <w:tab/>
            </w:r>
            <w:r w:rsidR="00001B1F">
              <w:rPr>
                <w:noProof/>
                <w:webHidden/>
              </w:rPr>
              <w:fldChar w:fldCharType="begin"/>
            </w:r>
            <w:r w:rsidR="00001B1F">
              <w:rPr>
                <w:noProof/>
                <w:webHidden/>
              </w:rPr>
              <w:instrText xml:space="preserve"> PAGEREF _Toc3360011 \h </w:instrText>
            </w:r>
            <w:r w:rsidR="00001B1F">
              <w:rPr>
                <w:noProof/>
                <w:webHidden/>
              </w:rPr>
            </w:r>
            <w:r w:rsidR="00001B1F">
              <w:rPr>
                <w:noProof/>
                <w:webHidden/>
              </w:rPr>
              <w:fldChar w:fldCharType="separate"/>
            </w:r>
            <w:r w:rsidR="00001B1F">
              <w:rPr>
                <w:noProof/>
                <w:webHidden/>
              </w:rPr>
              <w:t>9</w:t>
            </w:r>
            <w:r w:rsidR="00001B1F">
              <w:rPr>
                <w:noProof/>
                <w:webHidden/>
              </w:rPr>
              <w:fldChar w:fldCharType="end"/>
            </w:r>
          </w:hyperlink>
        </w:p>
        <w:p w14:paraId="5DB66EAC" w14:textId="3E178ECD" w:rsidR="00001B1F" w:rsidRDefault="006C2D52">
          <w:pPr>
            <w:pStyle w:val="TOC2"/>
            <w:rPr>
              <w:rFonts w:asciiTheme="minorHAnsi" w:eastAsiaTheme="minorEastAsia" w:hAnsiTheme="minorHAnsi" w:cstheme="minorBidi"/>
              <w:noProof/>
              <w:sz w:val="22"/>
              <w:szCs w:val="22"/>
            </w:rPr>
          </w:pPr>
          <w:hyperlink w:anchor="_Toc3360012" w:history="1">
            <w:r w:rsidR="00001B1F" w:rsidRPr="00303A84">
              <w:rPr>
                <w:rStyle w:val="Hyperlink"/>
                <w:noProof/>
              </w:rPr>
              <w:t>1.11</w:t>
            </w:r>
            <w:r w:rsidR="00001B1F">
              <w:rPr>
                <w:rFonts w:asciiTheme="minorHAnsi" w:eastAsiaTheme="minorEastAsia" w:hAnsiTheme="minorHAnsi" w:cstheme="minorBidi"/>
                <w:noProof/>
                <w:sz w:val="22"/>
                <w:szCs w:val="22"/>
              </w:rPr>
              <w:tab/>
            </w:r>
            <w:r w:rsidR="00001B1F" w:rsidRPr="00303A84">
              <w:rPr>
                <w:rStyle w:val="Hyperlink"/>
                <w:noProof/>
              </w:rPr>
              <w:t>Modification or Withdrawal of a Proposal</w:t>
            </w:r>
            <w:r w:rsidR="00001B1F">
              <w:rPr>
                <w:noProof/>
                <w:webHidden/>
              </w:rPr>
              <w:tab/>
            </w:r>
            <w:r w:rsidR="00001B1F">
              <w:rPr>
                <w:noProof/>
                <w:webHidden/>
              </w:rPr>
              <w:fldChar w:fldCharType="begin"/>
            </w:r>
            <w:r w:rsidR="00001B1F">
              <w:rPr>
                <w:noProof/>
                <w:webHidden/>
              </w:rPr>
              <w:instrText xml:space="preserve"> PAGEREF _Toc3360012 \h </w:instrText>
            </w:r>
            <w:r w:rsidR="00001B1F">
              <w:rPr>
                <w:noProof/>
                <w:webHidden/>
              </w:rPr>
            </w:r>
            <w:r w:rsidR="00001B1F">
              <w:rPr>
                <w:noProof/>
                <w:webHidden/>
              </w:rPr>
              <w:fldChar w:fldCharType="separate"/>
            </w:r>
            <w:r w:rsidR="00001B1F">
              <w:rPr>
                <w:noProof/>
                <w:webHidden/>
              </w:rPr>
              <w:t>10</w:t>
            </w:r>
            <w:r w:rsidR="00001B1F">
              <w:rPr>
                <w:noProof/>
                <w:webHidden/>
              </w:rPr>
              <w:fldChar w:fldCharType="end"/>
            </w:r>
          </w:hyperlink>
        </w:p>
        <w:p w14:paraId="3AC0A9F5" w14:textId="17A90DC9" w:rsidR="00001B1F" w:rsidRDefault="006C2D52">
          <w:pPr>
            <w:pStyle w:val="TOC2"/>
            <w:rPr>
              <w:rFonts w:asciiTheme="minorHAnsi" w:eastAsiaTheme="minorEastAsia" w:hAnsiTheme="minorHAnsi" w:cstheme="minorBidi"/>
              <w:noProof/>
              <w:sz w:val="22"/>
              <w:szCs w:val="22"/>
            </w:rPr>
          </w:pPr>
          <w:hyperlink w:anchor="_Toc3360013" w:history="1">
            <w:r w:rsidR="00001B1F" w:rsidRPr="00303A84">
              <w:rPr>
                <w:rStyle w:val="Hyperlink"/>
                <w:noProof/>
              </w:rPr>
              <w:t>1.12</w:t>
            </w:r>
            <w:r w:rsidR="00001B1F">
              <w:rPr>
                <w:rFonts w:asciiTheme="minorHAnsi" w:eastAsiaTheme="minorEastAsia" w:hAnsiTheme="minorHAnsi" w:cstheme="minorBidi"/>
                <w:noProof/>
                <w:sz w:val="22"/>
                <w:szCs w:val="22"/>
              </w:rPr>
              <w:tab/>
            </w:r>
            <w:r w:rsidR="00001B1F" w:rsidRPr="00303A84">
              <w:rPr>
                <w:rStyle w:val="Hyperlink"/>
                <w:noProof/>
              </w:rPr>
              <w:t>Cost of Proposal Preparation</w:t>
            </w:r>
            <w:r w:rsidR="00001B1F">
              <w:rPr>
                <w:noProof/>
                <w:webHidden/>
              </w:rPr>
              <w:tab/>
            </w:r>
            <w:r w:rsidR="00001B1F">
              <w:rPr>
                <w:noProof/>
                <w:webHidden/>
              </w:rPr>
              <w:fldChar w:fldCharType="begin"/>
            </w:r>
            <w:r w:rsidR="00001B1F">
              <w:rPr>
                <w:noProof/>
                <w:webHidden/>
              </w:rPr>
              <w:instrText xml:space="preserve"> PAGEREF _Toc3360013 \h </w:instrText>
            </w:r>
            <w:r w:rsidR="00001B1F">
              <w:rPr>
                <w:noProof/>
                <w:webHidden/>
              </w:rPr>
            </w:r>
            <w:r w:rsidR="00001B1F">
              <w:rPr>
                <w:noProof/>
                <w:webHidden/>
              </w:rPr>
              <w:fldChar w:fldCharType="separate"/>
            </w:r>
            <w:r w:rsidR="00001B1F">
              <w:rPr>
                <w:noProof/>
                <w:webHidden/>
              </w:rPr>
              <w:t>10</w:t>
            </w:r>
            <w:r w:rsidR="00001B1F">
              <w:rPr>
                <w:noProof/>
                <w:webHidden/>
              </w:rPr>
              <w:fldChar w:fldCharType="end"/>
            </w:r>
          </w:hyperlink>
        </w:p>
        <w:p w14:paraId="0C44DDF2" w14:textId="1EC5E631" w:rsidR="00001B1F" w:rsidRDefault="006C2D52">
          <w:pPr>
            <w:pStyle w:val="TOC2"/>
            <w:rPr>
              <w:rFonts w:asciiTheme="minorHAnsi" w:eastAsiaTheme="minorEastAsia" w:hAnsiTheme="minorHAnsi" w:cstheme="minorBidi"/>
              <w:noProof/>
              <w:sz w:val="22"/>
              <w:szCs w:val="22"/>
            </w:rPr>
          </w:pPr>
          <w:hyperlink w:anchor="_Toc3360014" w:history="1">
            <w:r w:rsidR="00001B1F" w:rsidRPr="00303A84">
              <w:rPr>
                <w:rStyle w:val="Hyperlink"/>
                <w:noProof/>
              </w:rPr>
              <w:t>1.13</w:t>
            </w:r>
            <w:r w:rsidR="00001B1F">
              <w:rPr>
                <w:rFonts w:asciiTheme="minorHAnsi" w:eastAsiaTheme="minorEastAsia" w:hAnsiTheme="minorHAnsi" w:cstheme="minorBidi"/>
                <w:noProof/>
                <w:sz w:val="22"/>
                <w:szCs w:val="22"/>
              </w:rPr>
              <w:tab/>
            </w:r>
            <w:r w:rsidR="00001B1F" w:rsidRPr="00303A84">
              <w:rPr>
                <w:rStyle w:val="Hyperlink"/>
                <w:noProof/>
              </w:rPr>
              <w:t>Proposal Evaluation</w:t>
            </w:r>
            <w:r w:rsidR="00001B1F">
              <w:rPr>
                <w:noProof/>
                <w:webHidden/>
              </w:rPr>
              <w:tab/>
            </w:r>
            <w:r w:rsidR="00001B1F">
              <w:rPr>
                <w:noProof/>
                <w:webHidden/>
              </w:rPr>
              <w:fldChar w:fldCharType="begin"/>
            </w:r>
            <w:r w:rsidR="00001B1F">
              <w:rPr>
                <w:noProof/>
                <w:webHidden/>
              </w:rPr>
              <w:instrText xml:space="preserve"> PAGEREF _Toc3360014 \h </w:instrText>
            </w:r>
            <w:r w:rsidR="00001B1F">
              <w:rPr>
                <w:noProof/>
                <w:webHidden/>
              </w:rPr>
            </w:r>
            <w:r w:rsidR="00001B1F">
              <w:rPr>
                <w:noProof/>
                <w:webHidden/>
              </w:rPr>
              <w:fldChar w:fldCharType="separate"/>
            </w:r>
            <w:r w:rsidR="00001B1F">
              <w:rPr>
                <w:noProof/>
                <w:webHidden/>
              </w:rPr>
              <w:t>10</w:t>
            </w:r>
            <w:r w:rsidR="00001B1F">
              <w:rPr>
                <w:noProof/>
                <w:webHidden/>
              </w:rPr>
              <w:fldChar w:fldCharType="end"/>
            </w:r>
          </w:hyperlink>
        </w:p>
        <w:p w14:paraId="49033A65" w14:textId="5AB54573" w:rsidR="00001B1F" w:rsidRDefault="006C2D52">
          <w:pPr>
            <w:pStyle w:val="TOC2"/>
            <w:rPr>
              <w:rFonts w:asciiTheme="minorHAnsi" w:eastAsiaTheme="minorEastAsia" w:hAnsiTheme="minorHAnsi" w:cstheme="minorBidi"/>
              <w:noProof/>
              <w:sz w:val="22"/>
              <w:szCs w:val="22"/>
            </w:rPr>
          </w:pPr>
          <w:hyperlink w:anchor="_Toc3360015" w:history="1">
            <w:r w:rsidR="00001B1F" w:rsidRPr="00303A84">
              <w:rPr>
                <w:rStyle w:val="Hyperlink"/>
                <w:noProof/>
              </w:rPr>
              <w:t>1.14</w:t>
            </w:r>
            <w:r w:rsidR="00001B1F">
              <w:rPr>
                <w:rFonts w:asciiTheme="minorHAnsi" w:eastAsiaTheme="minorEastAsia" w:hAnsiTheme="minorHAnsi" w:cstheme="minorBidi"/>
                <w:noProof/>
                <w:sz w:val="22"/>
                <w:szCs w:val="22"/>
              </w:rPr>
              <w:tab/>
            </w:r>
            <w:r w:rsidR="00001B1F" w:rsidRPr="00303A84">
              <w:rPr>
                <w:rStyle w:val="Hyperlink"/>
                <w:noProof/>
              </w:rPr>
              <w:t>Post-Award Vendor Debriefing</w:t>
            </w:r>
            <w:r w:rsidR="00001B1F">
              <w:rPr>
                <w:noProof/>
                <w:webHidden/>
              </w:rPr>
              <w:tab/>
            </w:r>
            <w:r w:rsidR="00001B1F">
              <w:rPr>
                <w:noProof/>
                <w:webHidden/>
              </w:rPr>
              <w:fldChar w:fldCharType="begin"/>
            </w:r>
            <w:r w:rsidR="00001B1F">
              <w:rPr>
                <w:noProof/>
                <w:webHidden/>
              </w:rPr>
              <w:instrText xml:space="preserve"> PAGEREF _Toc3360015 \h </w:instrText>
            </w:r>
            <w:r w:rsidR="00001B1F">
              <w:rPr>
                <w:noProof/>
                <w:webHidden/>
              </w:rPr>
            </w:r>
            <w:r w:rsidR="00001B1F">
              <w:rPr>
                <w:noProof/>
                <w:webHidden/>
              </w:rPr>
              <w:fldChar w:fldCharType="separate"/>
            </w:r>
            <w:r w:rsidR="00001B1F">
              <w:rPr>
                <w:noProof/>
                <w:webHidden/>
              </w:rPr>
              <w:t>12</w:t>
            </w:r>
            <w:r w:rsidR="00001B1F">
              <w:rPr>
                <w:noProof/>
                <w:webHidden/>
              </w:rPr>
              <w:fldChar w:fldCharType="end"/>
            </w:r>
          </w:hyperlink>
        </w:p>
        <w:p w14:paraId="1BE41859" w14:textId="49A9E640" w:rsidR="00001B1F" w:rsidRDefault="006C2D52">
          <w:pPr>
            <w:pStyle w:val="TOC2"/>
            <w:rPr>
              <w:rFonts w:asciiTheme="minorHAnsi" w:eastAsiaTheme="minorEastAsia" w:hAnsiTheme="minorHAnsi" w:cstheme="minorBidi"/>
              <w:noProof/>
              <w:sz w:val="22"/>
              <w:szCs w:val="22"/>
            </w:rPr>
          </w:pPr>
          <w:hyperlink w:anchor="_Toc3360016" w:history="1">
            <w:r w:rsidR="00001B1F" w:rsidRPr="00303A84">
              <w:rPr>
                <w:rStyle w:val="Hyperlink"/>
                <w:noProof/>
              </w:rPr>
              <w:t>1.15</w:t>
            </w:r>
            <w:r w:rsidR="00001B1F">
              <w:rPr>
                <w:rFonts w:asciiTheme="minorHAnsi" w:eastAsiaTheme="minorEastAsia" w:hAnsiTheme="minorHAnsi" w:cstheme="minorBidi"/>
                <w:noProof/>
                <w:sz w:val="22"/>
                <w:szCs w:val="22"/>
              </w:rPr>
              <w:tab/>
            </w:r>
            <w:r w:rsidR="00001B1F" w:rsidRPr="00303A84">
              <w:rPr>
                <w:rStyle w:val="Hyperlink"/>
                <w:noProof/>
              </w:rPr>
              <w:t>Right to Consider Historical Information</w:t>
            </w:r>
            <w:r w:rsidR="00001B1F">
              <w:rPr>
                <w:noProof/>
                <w:webHidden/>
              </w:rPr>
              <w:tab/>
            </w:r>
            <w:r w:rsidR="00001B1F">
              <w:rPr>
                <w:noProof/>
                <w:webHidden/>
              </w:rPr>
              <w:fldChar w:fldCharType="begin"/>
            </w:r>
            <w:r w:rsidR="00001B1F">
              <w:rPr>
                <w:noProof/>
                <w:webHidden/>
              </w:rPr>
              <w:instrText xml:space="preserve"> PAGEREF _Toc3360016 \h </w:instrText>
            </w:r>
            <w:r w:rsidR="00001B1F">
              <w:rPr>
                <w:noProof/>
                <w:webHidden/>
              </w:rPr>
            </w:r>
            <w:r w:rsidR="00001B1F">
              <w:rPr>
                <w:noProof/>
                <w:webHidden/>
              </w:rPr>
              <w:fldChar w:fldCharType="separate"/>
            </w:r>
            <w:r w:rsidR="00001B1F">
              <w:rPr>
                <w:noProof/>
                <w:webHidden/>
              </w:rPr>
              <w:t>13</w:t>
            </w:r>
            <w:r w:rsidR="00001B1F">
              <w:rPr>
                <w:noProof/>
                <w:webHidden/>
              </w:rPr>
              <w:fldChar w:fldCharType="end"/>
            </w:r>
          </w:hyperlink>
        </w:p>
        <w:p w14:paraId="1886D824" w14:textId="6298C97F" w:rsidR="00001B1F" w:rsidRDefault="006C2D52">
          <w:pPr>
            <w:pStyle w:val="TOC2"/>
            <w:rPr>
              <w:rFonts w:asciiTheme="minorHAnsi" w:eastAsiaTheme="minorEastAsia" w:hAnsiTheme="minorHAnsi" w:cstheme="minorBidi"/>
              <w:noProof/>
              <w:sz w:val="22"/>
              <w:szCs w:val="22"/>
            </w:rPr>
          </w:pPr>
          <w:hyperlink w:anchor="_Toc3360017" w:history="1">
            <w:r w:rsidR="00001B1F" w:rsidRPr="00303A84">
              <w:rPr>
                <w:rStyle w:val="Hyperlink"/>
                <w:noProof/>
              </w:rPr>
              <w:t>1.16</w:t>
            </w:r>
            <w:r w:rsidR="00001B1F">
              <w:rPr>
                <w:rFonts w:asciiTheme="minorHAnsi" w:eastAsiaTheme="minorEastAsia" w:hAnsiTheme="minorHAnsi" w:cstheme="minorBidi"/>
                <w:noProof/>
                <w:sz w:val="22"/>
                <w:szCs w:val="22"/>
              </w:rPr>
              <w:tab/>
            </w:r>
            <w:r w:rsidR="00001B1F" w:rsidRPr="00303A84">
              <w:rPr>
                <w:rStyle w:val="Hyperlink"/>
                <w:noProof/>
              </w:rPr>
              <w:t>Right to Reject, Cancel and/or Issue Another RFP</w:t>
            </w:r>
            <w:r w:rsidR="00001B1F">
              <w:rPr>
                <w:noProof/>
                <w:webHidden/>
              </w:rPr>
              <w:tab/>
            </w:r>
            <w:r w:rsidR="00001B1F">
              <w:rPr>
                <w:noProof/>
                <w:webHidden/>
              </w:rPr>
              <w:fldChar w:fldCharType="begin"/>
            </w:r>
            <w:r w:rsidR="00001B1F">
              <w:rPr>
                <w:noProof/>
                <w:webHidden/>
              </w:rPr>
              <w:instrText xml:space="preserve"> PAGEREF _Toc3360017 \h </w:instrText>
            </w:r>
            <w:r w:rsidR="00001B1F">
              <w:rPr>
                <w:noProof/>
                <w:webHidden/>
              </w:rPr>
            </w:r>
            <w:r w:rsidR="00001B1F">
              <w:rPr>
                <w:noProof/>
                <w:webHidden/>
              </w:rPr>
              <w:fldChar w:fldCharType="separate"/>
            </w:r>
            <w:r w:rsidR="00001B1F">
              <w:rPr>
                <w:noProof/>
                <w:webHidden/>
              </w:rPr>
              <w:t>13</w:t>
            </w:r>
            <w:r w:rsidR="00001B1F">
              <w:rPr>
                <w:noProof/>
                <w:webHidden/>
              </w:rPr>
              <w:fldChar w:fldCharType="end"/>
            </w:r>
          </w:hyperlink>
        </w:p>
        <w:p w14:paraId="081E8D56" w14:textId="6CB8BC7D" w:rsidR="00001B1F" w:rsidRDefault="006C2D52">
          <w:pPr>
            <w:pStyle w:val="TOC1"/>
            <w:rPr>
              <w:rFonts w:asciiTheme="minorHAnsi" w:eastAsiaTheme="minorEastAsia" w:hAnsiTheme="minorHAnsi" w:cstheme="minorBidi"/>
              <w:noProof/>
              <w:sz w:val="22"/>
              <w:szCs w:val="22"/>
            </w:rPr>
          </w:pPr>
          <w:hyperlink w:anchor="_Toc3360018" w:history="1">
            <w:r w:rsidR="00001B1F" w:rsidRPr="00303A84">
              <w:rPr>
                <w:rStyle w:val="Hyperlink"/>
                <w:noProof/>
              </w:rPr>
              <w:t>Section 2. MINIMUM VENDOR REQUIREMENTS</w:t>
            </w:r>
            <w:r w:rsidR="00001B1F">
              <w:rPr>
                <w:noProof/>
                <w:webHidden/>
              </w:rPr>
              <w:tab/>
            </w:r>
            <w:r w:rsidR="00001B1F">
              <w:rPr>
                <w:noProof/>
                <w:webHidden/>
              </w:rPr>
              <w:fldChar w:fldCharType="begin"/>
            </w:r>
            <w:r w:rsidR="00001B1F">
              <w:rPr>
                <w:noProof/>
                <w:webHidden/>
              </w:rPr>
              <w:instrText xml:space="preserve"> PAGEREF _Toc3360018 \h </w:instrText>
            </w:r>
            <w:r w:rsidR="00001B1F">
              <w:rPr>
                <w:noProof/>
                <w:webHidden/>
              </w:rPr>
            </w:r>
            <w:r w:rsidR="00001B1F">
              <w:rPr>
                <w:noProof/>
                <w:webHidden/>
              </w:rPr>
              <w:fldChar w:fldCharType="separate"/>
            </w:r>
            <w:r w:rsidR="00001B1F">
              <w:rPr>
                <w:noProof/>
                <w:webHidden/>
              </w:rPr>
              <w:t>14</w:t>
            </w:r>
            <w:r w:rsidR="00001B1F">
              <w:rPr>
                <w:noProof/>
                <w:webHidden/>
              </w:rPr>
              <w:fldChar w:fldCharType="end"/>
            </w:r>
          </w:hyperlink>
        </w:p>
        <w:p w14:paraId="1720CED2" w14:textId="2444F311" w:rsidR="00001B1F" w:rsidRDefault="006C2D52">
          <w:pPr>
            <w:pStyle w:val="TOC1"/>
            <w:rPr>
              <w:rFonts w:asciiTheme="minorHAnsi" w:eastAsiaTheme="minorEastAsia" w:hAnsiTheme="minorHAnsi" w:cstheme="minorBidi"/>
              <w:noProof/>
              <w:sz w:val="22"/>
              <w:szCs w:val="22"/>
            </w:rPr>
          </w:pPr>
          <w:hyperlink w:anchor="_Toc3360019" w:history="1">
            <w:r w:rsidR="00001B1F" w:rsidRPr="00303A84">
              <w:rPr>
                <w:rStyle w:val="Hyperlink"/>
                <w:noProof/>
              </w:rPr>
              <w:t>Section 3. SCOPE OF SERVICES</w:t>
            </w:r>
            <w:r w:rsidR="00001B1F">
              <w:rPr>
                <w:noProof/>
                <w:webHidden/>
              </w:rPr>
              <w:tab/>
            </w:r>
            <w:r w:rsidR="00001B1F">
              <w:rPr>
                <w:noProof/>
                <w:webHidden/>
              </w:rPr>
              <w:fldChar w:fldCharType="begin"/>
            </w:r>
            <w:r w:rsidR="00001B1F">
              <w:rPr>
                <w:noProof/>
                <w:webHidden/>
              </w:rPr>
              <w:instrText xml:space="preserve"> PAGEREF _Toc3360019 \h </w:instrText>
            </w:r>
            <w:r w:rsidR="00001B1F">
              <w:rPr>
                <w:noProof/>
                <w:webHidden/>
              </w:rPr>
            </w:r>
            <w:r w:rsidR="00001B1F">
              <w:rPr>
                <w:noProof/>
                <w:webHidden/>
              </w:rPr>
              <w:fldChar w:fldCharType="separate"/>
            </w:r>
            <w:r w:rsidR="00001B1F">
              <w:rPr>
                <w:noProof/>
                <w:webHidden/>
              </w:rPr>
              <w:t>16</w:t>
            </w:r>
            <w:r w:rsidR="00001B1F">
              <w:rPr>
                <w:noProof/>
                <w:webHidden/>
              </w:rPr>
              <w:fldChar w:fldCharType="end"/>
            </w:r>
          </w:hyperlink>
        </w:p>
        <w:p w14:paraId="60AB1911" w14:textId="38BEE82E" w:rsidR="00001B1F" w:rsidRDefault="006C2D52">
          <w:pPr>
            <w:pStyle w:val="TOC1"/>
            <w:rPr>
              <w:rFonts w:asciiTheme="minorHAnsi" w:eastAsiaTheme="minorEastAsia" w:hAnsiTheme="minorHAnsi" w:cstheme="minorBidi"/>
              <w:noProof/>
              <w:sz w:val="22"/>
              <w:szCs w:val="22"/>
            </w:rPr>
          </w:pPr>
          <w:hyperlink w:anchor="_Toc3360020" w:history="1">
            <w:r w:rsidR="00001B1F" w:rsidRPr="00303A84">
              <w:rPr>
                <w:rStyle w:val="Hyperlink"/>
                <w:noProof/>
              </w:rPr>
              <w:t>Section 4. NARRATIVE QUESTIONNAIRE</w:t>
            </w:r>
            <w:r w:rsidR="00001B1F">
              <w:rPr>
                <w:noProof/>
                <w:webHidden/>
              </w:rPr>
              <w:tab/>
            </w:r>
            <w:r w:rsidR="00001B1F">
              <w:rPr>
                <w:noProof/>
                <w:webHidden/>
              </w:rPr>
              <w:fldChar w:fldCharType="begin"/>
            </w:r>
            <w:r w:rsidR="00001B1F">
              <w:rPr>
                <w:noProof/>
                <w:webHidden/>
              </w:rPr>
              <w:instrText xml:space="preserve"> PAGEREF _Toc3360020 \h </w:instrText>
            </w:r>
            <w:r w:rsidR="00001B1F">
              <w:rPr>
                <w:noProof/>
                <w:webHidden/>
              </w:rPr>
            </w:r>
            <w:r w:rsidR="00001B1F">
              <w:rPr>
                <w:noProof/>
                <w:webHidden/>
              </w:rPr>
              <w:fldChar w:fldCharType="separate"/>
            </w:r>
            <w:r w:rsidR="00001B1F">
              <w:rPr>
                <w:noProof/>
                <w:webHidden/>
              </w:rPr>
              <w:t>18</w:t>
            </w:r>
            <w:r w:rsidR="00001B1F">
              <w:rPr>
                <w:noProof/>
                <w:webHidden/>
              </w:rPr>
              <w:fldChar w:fldCharType="end"/>
            </w:r>
          </w:hyperlink>
        </w:p>
        <w:p w14:paraId="1EED85A8" w14:textId="1D3D28BF" w:rsidR="00001B1F" w:rsidRDefault="006C2D52">
          <w:pPr>
            <w:pStyle w:val="TOC1"/>
            <w:rPr>
              <w:rFonts w:asciiTheme="minorHAnsi" w:eastAsiaTheme="minorEastAsia" w:hAnsiTheme="minorHAnsi" w:cstheme="minorBidi"/>
              <w:noProof/>
              <w:sz w:val="22"/>
              <w:szCs w:val="22"/>
            </w:rPr>
          </w:pPr>
          <w:hyperlink w:anchor="_Toc3360021" w:history="1">
            <w:r w:rsidR="00001B1F" w:rsidRPr="00303A84">
              <w:rPr>
                <w:rStyle w:val="Hyperlink"/>
                <w:noProof/>
              </w:rPr>
              <w:t>Section 5. REFERENCES</w:t>
            </w:r>
            <w:r w:rsidR="00001B1F">
              <w:rPr>
                <w:noProof/>
                <w:webHidden/>
              </w:rPr>
              <w:tab/>
            </w:r>
            <w:r w:rsidR="00001B1F">
              <w:rPr>
                <w:noProof/>
                <w:webHidden/>
              </w:rPr>
              <w:fldChar w:fldCharType="begin"/>
            </w:r>
            <w:r w:rsidR="00001B1F">
              <w:rPr>
                <w:noProof/>
                <w:webHidden/>
              </w:rPr>
              <w:instrText xml:space="preserve"> PAGEREF _Toc3360021 \h </w:instrText>
            </w:r>
            <w:r w:rsidR="00001B1F">
              <w:rPr>
                <w:noProof/>
                <w:webHidden/>
              </w:rPr>
            </w:r>
            <w:r w:rsidR="00001B1F">
              <w:rPr>
                <w:noProof/>
                <w:webHidden/>
              </w:rPr>
              <w:fldChar w:fldCharType="separate"/>
            </w:r>
            <w:r w:rsidR="00001B1F">
              <w:rPr>
                <w:noProof/>
                <w:webHidden/>
              </w:rPr>
              <w:t>20</w:t>
            </w:r>
            <w:r w:rsidR="00001B1F">
              <w:rPr>
                <w:noProof/>
                <w:webHidden/>
              </w:rPr>
              <w:fldChar w:fldCharType="end"/>
            </w:r>
          </w:hyperlink>
        </w:p>
        <w:p w14:paraId="192D47C3" w14:textId="31CAD46D" w:rsidR="00001B1F" w:rsidRDefault="006C2D52">
          <w:pPr>
            <w:pStyle w:val="TOC1"/>
            <w:rPr>
              <w:rFonts w:asciiTheme="minorHAnsi" w:eastAsiaTheme="minorEastAsia" w:hAnsiTheme="minorHAnsi" w:cstheme="minorBidi"/>
              <w:noProof/>
              <w:sz w:val="22"/>
              <w:szCs w:val="22"/>
            </w:rPr>
          </w:pPr>
          <w:hyperlink w:anchor="_Toc3360022" w:history="1">
            <w:r w:rsidR="00001B1F" w:rsidRPr="00303A84">
              <w:rPr>
                <w:rStyle w:val="Hyperlink"/>
                <w:noProof/>
              </w:rPr>
              <w:t>Section 6. SERVICE PLAN</w:t>
            </w:r>
            <w:r w:rsidR="00001B1F">
              <w:rPr>
                <w:noProof/>
                <w:webHidden/>
              </w:rPr>
              <w:tab/>
            </w:r>
            <w:r w:rsidR="00001B1F">
              <w:rPr>
                <w:noProof/>
                <w:webHidden/>
              </w:rPr>
              <w:fldChar w:fldCharType="begin"/>
            </w:r>
            <w:r w:rsidR="00001B1F">
              <w:rPr>
                <w:noProof/>
                <w:webHidden/>
              </w:rPr>
              <w:instrText xml:space="preserve"> PAGEREF _Toc3360022 \h </w:instrText>
            </w:r>
            <w:r w:rsidR="00001B1F">
              <w:rPr>
                <w:noProof/>
                <w:webHidden/>
              </w:rPr>
            </w:r>
            <w:r w:rsidR="00001B1F">
              <w:rPr>
                <w:noProof/>
                <w:webHidden/>
              </w:rPr>
              <w:fldChar w:fldCharType="separate"/>
            </w:r>
            <w:r w:rsidR="00001B1F">
              <w:rPr>
                <w:noProof/>
                <w:webHidden/>
              </w:rPr>
              <w:t>21</w:t>
            </w:r>
            <w:r w:rsidR="00001B1F">
              <w:rPr>
                <w:noProof/>
                <w:webHidden/>
              </w:rPr>
              <w:fldChar w:fldCharType="end"/>
            </w:r>
          </w:hyperlink>
        </w:p>
        <w:p w14:paraId="7926D37C" w14:textId="51739DB3" w:rsidR="00001B1F" w:rsidRDefault="006C2D52">
          <w:pPr>
            <w:pStyle w:val="TOC2"/>
            <w:rPr>
              <w:rFonts w:asciiTheme="minorHAnsi" w:eastAsiaTheme="minorEastAsia" w:hAnsiTheme="minorHAnsi" w:cstheme="minorBidi"/>
              <w:noProof/>
              <w:sz w:val="22"/>
              <w:szCs w:val="22"/>
            </w:rPr>
          </w:pPr>
          <w:hyperlink w:anchor="_Toc3360029" w:history="1">
            <w:r w:rsidR="00001B1F" w:rsidRPr="00303A84">
              <w:rPr>
                <w:rStyle w:val="Hyperlink"/>
                <w:noProof/>
              </w:rPr>
              <w:t>6.1</w:t>
            </w:r>
            <w:r w:rsidR="00001B1F">
              <w:rPr>
                <w:rFonts w:asciiTheme="minorHAnsi" w:eastAsiaTheme="minorEastAsia" w:hAnsiTheme="minorHAnsi" w:cstheme="minorBidi"/>
                <w:noProof/>
                <w:sz w:val="22"/>
                <w:szCs w:val="22"/>
              </w:rPr>
              <w:tab/>
            </w:r>
            <w:r w:rsidR="00001B1F" w:rsidRPr="00303A84">
              <w:rPr>
                <w:rStyle w:val="Hyperlink"/>
                <w:noProof/>
              </w:rPr>
              <w:t>General Account Management</w:t>
            </w:r>
            <w:r w:rsidR="00001B1F">
              <w:rPr>
                <w:noProof/>
                <w:webHidden/>
              </w:rPr>
              <w:tab/>
            </w:r>
            <w:r w:rsidR="00001B1F">
              <w:rPr>
                <w:noProof/>
                <w:webHidden/>
              </w:rPr>
              <w:fldChar w:fldCharType="begin"/>
            </w:r>
            <w:r w:rsidR="00001B1F">
              <w:rPr>
                <w:noProof/>
                <w:webHidden/>
              </w:rPr>
              <w:instrText xml:space="preserve"> PAGEREF _Toc3360029 \h </w:instrText>
            </w:r>
            <w:r w:rsidR="00001B1F">
              <w:rPr>
                <w:noProof/>
                <w:webHidden/>
              </w:rPr>
            </w:r>
            <w:r w:rsidR="00001B1F">
              <w:rPr>
                <w:noProof/>
                <w:webHidden/>
              </w:rPr>
              <w:fldChar w:fldCharType="separate"/>
            </w:r>
            <w:r w:rsidR="00001B1F">
              <w:rPr>
                <w:noProof/>
                <w:webHidden/>
              </w:rPr>
              <w:t>21</w:t>
            </w:r>
            <w:r w:rsidR="00001B1F">
              <w:rPr>
                <w:noProof/>
                <w:webHidden/>
              </w:rPr>
              <w:fldChar w:fldCharType="end"/>
            </w:r>
          </w:hyperlink>
        </w:p>
        <w:p w14:paraId="618C3F78" w14:textId="050917B2" w:rsidR="00001B1F" w:rsidRDefault="006C2D52">
          <w:pPr>
            <w:pStyle w:val="TOC2"/>
            <w:rPr>
              <w:rFonts w:asciiTheme="minorHAnsi" w:eastAsiaTheme="minorEastAsia" w:hAnsiTheme="minorHAnsi" w:cstheme="minorBidi"/>
              <w:noProof/>
              <w:sz w:val="22"/>
              <w:szCs w:val="22"/>
            </w:rPr>
          </w:pPr>
          <w:hyperlink w:anchor="_Toc3360030" w:history="1">
            <w:r w:rsidR="00001B1F" w:rsidRPr="00303A84">
              <w:rPr>
                <w:rStyle w:val="Hyperlink"/>
                <w:noProof/>
              </w:rPr>
              <w:t>6.2</w:t>
            </w:r>
            <w:r w:rsidR="00001B1F">
              <w:rPr>
                <w:rFonts w:asciiTheme="minorHAnsi" w:eastAsiaTheme="minorEastAsia" w:hAnsiTheme="minorHAnsi" w:cstheme="minorBidi"/>
                <w:noProof/>
                <w:sz w:val="22"/>
                <w:szCs w:val="22"/>
              </w:rPr>
              <w:tab/>
            </w:r>
            <w:r w:rsidR="00001B1F" w:rsidRPr="00303A84">
              <w:rPr>
                <w:rStyle w:val="Hyperlink"/>
                <w:noProof/>
              </w:rPr>
              <w:t>Actuarial Consulting Services Self-Insured Workers’ Compensation Trust</w:t>
            </w:r>
            <w:r w:rsidR="00001B1F">
              <w:rPr>
                <w:noProof/>
                <w:webHidden/>
              </w:rPr>
              <w:tab/>
            </w:r>
            <w:r w:rsidR="00001B1F">
              <w:rPr>
                <w:noProof/>
                <w:webHidden/>
              </w:rPr>
              <w:fldChar w:fldCharType="begin"/>
            </w:r>
            <w:r w:rsidR="00001B1F">
              <w:rPr>
                <w:noProof/>
                <w:webHidden/>
              </w:rPr>
              <w:instrText xml:space="preserve"> PAGEREF _Toc3360030 \h </w:instrText>
            </w:r>
            <w:r w:rsidR="00001B1F">
              <w:rPr>
                <w:noProof/>
                <w:webHidden/>
              </w:rPr>
            </w:r>
            <w:r w:rsidR="00001B1F">
              <w:rPr>
                <w:noProof/>
                <w:webHidden/>
              </w:rPr>
              <w:fldChar w:fldCharType="separate"/>
            </w:r>
            <w:r w:rsidR="00001B1F">
              <w:rPr>
                <w:noProof/>
                <w:webHidden/>
              </w:rPr>
              <w:t>21</w:t>
            </w:r>
            <w:r w:rsidR="00001B1F">
              <w:rPr>
                <w:noProof/>
                <w:webHidden/>
              </w:rPr>
              <w:fldChar w:fldCharType="end"/>
            </w:r>
          </w:hyperlink>
        </w:p>
        <w:p w14:paraId="5C6BCF82" w14:textId="023414F7" w:rsidR="00001B1F" w:rsidRDefault="006C2D52">
          <w:pPr>
            <w:pStyle w:val="TOC2"/>
            <w:rPr>
              <w:rFonts w:asciiTheme="minorHAnsi" w:eastAsiaTheme="minorEastAsia" w:hAnsiTheme="minorHAnsi" w:cstheme="minorBidi"/>
              <w:noProof/>
              <w:sz w:val="22"/>
              <w:szCs w:val="22"/>
            </w:rPr>
          </w:pPr>
          <w:hyperlink w:anchor="_Toc3360031" w:history="1">
            <w:r w:rsidR="00001B1F" w:rsidRPr="00303A84">
              <w:rPr>
                <w:rStyle w:val="Hyperlink"/>
                <w:noProof/>
              </w:rPr>
              <w:t>6.3</w:t>
            </w:r>
            <w:r w:rsidR="00001B1F">
              <w:rPr>
                <w:rFonts w:asciiTheme="minorHAnsi" w:eastAsiaTheme="minorEastAsia" w:hAnsiTheme="minorHAnsi" w:cstheme="minorBidi"/>
                <w:noProof/>
                <w:sz w:val="22"/>
                <w:szCs w:val="22"/>
              </w:rPr>
              <w:tab/>
            </w:r>
            <w:r w:rsidR="00001B1F" w:rsidRPr="00303A84">
              <w:rPr>
                <w:rStyle w:val="Hyperlink"/>
                <w:noProof/>
              </w:rPr>
              <w:t>Actuarial Consulting Services for Employment Compensation Revolving Fund</w:t>
            </w:r>
            <w:r w:rsidR="00001B1F">
              <w:rPr>
                <w:noProof/>
                <w:webHidden/>
              </w:rPr>
              <w:tab/>
            </w:r>
            <w:r w:rsidR="00001B1F">
              <w:rPr>
                <w:noProof/>
                <w:webHidden/>
              </w:rPr>
              <w:fldChar w:fldCharType="begin"/>
            </w:r>
            <w:r w:rsidR="00001B1F">
              <w:rPr>
                <w:noProof/>
                <w:webHidden/>
              </w:rPr>
              <w:instrText xml:space="preserve"> PAGEREF _Toc3360031 \h </w:instrText>
            </w:r>
            <w:r w:rsidR="00001B1F">
              <w:rPr>
                <w:noProof/>
                <w:webHidden/>
              </w:rPr>
            </w:r>
            <w:r w:rsidR="00001B1F">
              <w:rPr>
                <w:noProof/>
                <w:webHidden/>
              </w:rPr>
              <w:fldChar w:fldCharType="separate"/>
            </w:r>
            <w:r w:rsidR="00001B1F">
              <w:rPr>
                <w:noProof/>
                <w:webHidden/>
              </w:rPr>
              <w:t>22</w:t>
            </w:r>
            <w:r w:rsidR="00001B1F">
              <w:rPr>
                <w:noProof/>
                <w:webHidden/>
              </w:rPr>
              <w:fldChar w:fldCharType="end"/>
            </w:r>
          </w:hyperlink>
        </w:p>
        <w:p w14:paraId="2F04A42A" w14:textId="6BCC11EF" w:rsidR="00001B1F" w:rsidRDefault="006C2D52">
          <w:pPr>
            <w:pStyle w:val="TOC2"/>
            <w:rPr>
              <w:rFonts w:asciiTheme="minorHAnsi" w:eastAsiaTheme="minorEastAsia" w:hAnsiTheme="minorHAnsi" w:cstheme="minorBidi"/>
              <w:noProof/>
              <w:sz w:val="22"/>
              <w:szCs w:val="22"/>
            </w:rPr>
          </w:pPr>
          <w:hyperlink w:anchor="_Toc3360032" w:history="1">
            <w:r w:rsidR="00001B1F" w:rsidRPr="00303A84">
              <w:rPr>
                <w:rStyle w:val="Hyperlink"/>
                <w:noProof/>
              </w:rPr>
              <w:t>6.4</w:t>
            </w:r>
            <w:r w:rsidR="00001B1F">
              <w:rPr>
                <w:rFonts w:asciiTheme="minorHAnsi" w:eastAsiaTheme="minorEastAsia" w:hAnsiTheme="minorHAnsi" w:cstheme="minorBidi"/>
                <w:noProof/>
                <w:sz w:val="22"/>
                <w:szCs w:val="22"/>
              </w:rPr>
              <w:tab/>
            </w:r>
            <w:r w:rsidR="00001B1F" w:rsidRPr="00303A84">
              <w:rPr>
                <w:rStyle w:val="Hyperlink"/>
                <w:noProof/>
              </w:rPr>
              <w:t>Communications</w:t>
            </w:r>
            <w:r w:rsidR="00001B1F">
              <w:rPr>
                <w:noProof/>
                <w:webHidden/>
              </w:rPr>
              <w:tab/>
            </w:r>
            <w:r w:rsidR="00001B1F">
              <w:rPr>
                <w:noProof/>
                <w:webHidden/>
              </w:rPr>
              <w:fldChar w:fldCharType="begin"/>
            </w:r>
            <w:r w:rsidR="00001B1F">
              <w:rPr>
                <w:noProof/>
                <w:webHidden/>
              </w:rPr>
              <w:instrText xml:space="preserve"> PAGEREF _Toc3360032 \h </w:instrText>
            </w:r>
            <w:r w:rsidR="00001B1F">
              <w:rPr>
                <w:noProof/>
                <w:webHidden/>
              </w:rPr>
            </w:r>
            <w:r w:rsidR="00001B1F">
              <w:rPr>
                <w:noProof/>
                <w:webHidden/>
              </w:rPr>
              <w:fldChar w:fldCharType="separate"/>
            </w:r>
            <w:r w:rsidR="00001B1F">
              <w:rPr>
                <w:noProof/>
                <w:webHidden/>
              </w:rPr>
              <w:t>22</w:t>
            </w:r>
            <w:r w:rsidR="00001B1F">
              <w:rPr>
                <w:noProof/>
                <w:webHidden/>
              </w:rPr>
              <w:fldChar w:fldCharType="end"/>
            </w:r>
          </w:hyperlink>
        </w:p>
        <w:p w14:paraId="601AB559" w14:textId="6268AABC" w:rsidR="00001B1F" w:rsidRDefault="006C2D52">
          <w:pPr>
            <w:pStyle w:val="TOC1"/>
            <w:rPr>
              <w:rFonts w:asciiTheme="minorHAnsi" w:eastAsiaTheme="minorEastAsia" w:hAnsiTheme="minorHAnsi" w:cstheme="minorBidi"/>
              <w:noProof/>
              <w:sz w:val="22"/>
              <w:szCs w:val="22"/>
            </w:rPr>
          </w:pPr>
          <w:hyperlink w:anchor="_Toc3360033" w:history="1">
            <w:r w:rsidR="00001B1F" w:rsidRPr="00303A84">
              <w:rPr>
                <w:rStyle w:val="Hyperlink"/>
                <w:noProof/>
              </w:rPr>
              <w:t>Section 7. FEE SCHEDULE</w:t>
            </w:r>
            <w:r w:rsidR="00001B1F">
              <w:rPr>
                <w:noProof/>
                <w:webHidden/>
              </w:rPr>
              <w:tab/>
            </w:r>
            <w:r w:rsidR="00001B1F">
              <w:rPr>
                <w:noProof/>
                <w:webHidden/>
              </w:rPr>
              <w:fldChar w:fldCharType="begin"/>
            </w:r>
            <w:r w:rsidR="00001B1F">
              <w:rPr>
                <w:noProof/>
                <w:webHidden/>
              </w:rPr>
              <w:instrText xml:space="preserve"> PAGEREF _Toc3360033 \h </w:instrText>
            </w:r>
            <w:r w:rsidR="00001B1F">
              <w:rPr>
                <w:noProof/>
                <w:webHidden/>
              </w:rPr>
            </w:r>
            <w:r w:rsidR="00001B1F">
              <w:rPr>
                <w:noProof/>
                <w:webHidden/>
              </w:rPr>
              <w:fldChar w:fldCharType="separate"/>
            </w:r>
            <w:r w:rsidR="00001B1F">
              <w:rPr>
                <w:noProof/>
                <w:webHidden/>
              </w:rPr>
              <w:t>23</w:t>
            </w:r>
            <w:r w:rsidR="00001B1F">
              <w:rPr>
                <w:noProof/>
                <w:webHidden/>
              </w:rPr>
              <w:fldChar w:fldCharType="end"/>
            </w:r>
          </w:hyperlink>
        </w:p>
        <w:p w14:paraId="7BAC0C38" w14:textId="39D97507" w:rsidR="00001B1F" w:rsidRDefault="006C2D52">
          <w:pPr>
            <w:pStyle w:val="TOC1"/>
            <w:rPr>
              <w:rFonts w:asciiTheme="minorHAnsi" w:eastAsiaTheme="minorEastAsia" w:hAnsiTheme="minorHAnsi" w:cstheme="minorBidi"/>
              <w:noProof/>
              <w:sz w:val="22"/>
              <w:szCs w:val="22"/>
            </w:rPr>
          </w:pPr>
          <w:hyperlink w:anchor="_Toc3360034" w:history="1">
            <w:r w:rsidR="00001B1F" w:rsidRPr="00303A84">
              <w:rPr>
                <w:rStyle w:val="Hyperlink"/>
                <w:noProof/>
              </w:rPr>
              <w:t>Section 8. STATEMENT OF COMPLIANCE</w:t>
            </w:r>
            <w:r w:rsidR="00001B1F">
              <w:rPr>
                <w:noProof/>
                <w:webHidden/>
              </w:rPr>
              <w:tab/>
            </w:r>
            <w:r w:rsidR="00001B1F">
              <w:rPr>
                <w:noProof/>
                <w:webHidden/>
              </w:rPr>
              <w:fldChar w:fldCharType="begin"/>
            </w:r>
            <w:r w:rsidR="00001B1F">
              <w:rPr>
                <w:noProof/>
                <w:webHidden/>
              </w:rPr>
              <w:instrText xml:space="preserve"> PAGEREF _Toc3360034 \h </w:instrText>
            </w:r>
            <w:r w:rsidR="00001B1F">
              <w:rPr>
                <w:noProof/>
                <w:webHidden/>
              </w:rPr>
            </w:r>
            <w:r w:rsidR="00001B1F">
              <w:rPr>
                <w:noProof/>
                <w:webHidden/>
              </w:rPr>
              <w:fldChar w:fldCharType="separate"/>
            </w:r>
            <w:r w:rsidR="00001B1F">
              <w:rPr>
                <w:noProof/>
                <w:webHidden/>
              </w:rPr>
              <w:t>26</w:t>
            </w:r>
            <w:r w:rsidR="00001B1F">
              <w:rPr>
                <w:noProof/>
                <w:webHidden/>
              </w:rPr>
              <w:fldChar w:fldCharType="end"/>
            </w:r>
          </w:hyperlink>
        </w:p>
        <w:p w14:paraId="125DA7F9" w14:textId="2944D533" w:rsidR="00001B1F" w:rsidRDefault="006C2D52">
          <w:pPr>
            <w:pStyle w:val="TOC1"/>
            <w:rPr>
              <w:rFonts w:asciiTheme="minorHAnsi" w:eastAsiaTheme="minorEastAsia" w:hAnsiTheme="minorHAnsi" w:cstheme="minorBidi"/>
              <w:noProof/>
              <w:sz w:val="22"/>
              <w:szCs w:val="22"/>
            </w:rPr>
          </w:pPr>
          <w:hyperlink w:anchor="_Toc3360035" w:history="1">
            <w:r w:rsidR="00001B1F" w:rsidRPr="00303A84">
              <w:rPr>
                <w:rStyle w:val="Hyperlink"/>
                <w:i/>
                <w:noProof/>
              </w:rPr>
              <w:t>Appendix A</w:t>
            </w:r>
            <w:r w:rsidR="00001B1F">
              <w:rPr>
                <w:noProof/>
                <w:webHidden/>
              </w:rPr>
              <w:tab/>
            </w:r>
            <w:r w:rsidR="00001B1F">
              <w:rPr>
                <w:noProof/>
                <w:webHidden/>
              </w:rPr>
              <w:fldChar w:fldCharType="begin"/>
            </w:r>
            <w:r w:rsidR="00001B1F">
              <w:rPr>
                <w:noProof/>
                <w:webHidden/>
              </w:rPr>
              <w:instrText xml:space="preserve"> PAGEREF _Toc3360035 \h </w:instrText>
            </w:r>
            <w:r w:rsidR="00001B1F">
              <w:rPr>
                <w:noProof/>
                <w:webHidden/>
              </w:rPr>
            </w:r>
            <w:r w:rsidR="00001B1F">
              <w:rPr>
                <w:noProof/>
                <w:webHidden/>
              </w:rPr>
              <w:fldChar w:fldCharType="separate"/>
            </w:r>
            <w:r w:rsidR="00001B1F">
              <w:rPr>
                <w:noProof/>
                <w:webHidden/>
              </w:rPr>
              <w:t>28</w:t>
            </w:r>
            <w:r w:rsidR="00001B1F">
              <w:rPr>
                <w:noProof/>
                <w:webHidden/>
              </w:rPr>
              <w:fldChar w:fldCharType="end"/>
            </w:r>
          </w:hyperlink>
        </w:p>
        <w:p w14:paraId="2E01B707" w14:textId="419AD1C4" w:rsidR="00001B1F" w:rsidRDefault="006C2D52">
          <w:pPr>
            <w:pStyle w:val="TOC2"/>
            <w:rPr>
              <w:rFonts w:asciiTheme="minorHAnsi" w:eastAsiaTheme="minorEastAsia" w:hAnsiTheme="minorHAnsi" w:cstheme="minorBidi"/>
              <w:noProof/>
              <w:sz w:val="22"/>
              <w:szCs w:val="22"/>
            </w:rPr>
          </w:pPr>
          <w:hyperlink w:anchor="_Toc3360036" w:history="1">
            <w:r w:rsidR="00001B1F" w:rsidRPr="00303A84">
              <w:rPr>
                <w:rStyle w:val="Hyperlink"/>
                <w:i/>
                <w:noProof/>
              </w:rPr>
              <w:t>Draft Actuarial Consulting Services Contract</w:t>
            </w:r>
            <w:r w:rsidR="00001B1F">
              <w:rPr>
                <w:noProof/>
                <w:webHidden/>
              </w:rPr>
              <w:tab/>
            </w:r>
            <w:r w:rsidR="00001B1F">
              <w:rPr>
                <w:noProof/>
                <w:webHidden/>
              </w:rPr>
              <w:fldChar w:fldCharType="begin"/>
            </w:r>
            <w:r w:rsidR="00001B1F">
              <w:rPr>
                <w:noProof/>
                <w:webHidden/>
              </w:rPr>
              <w:instrText xml:space="preserve"> PAGEREF _Toc3360036 \h </w:instrText>
            </w:r>
            <w:r w:rsidR="00001B1F">
              <w:rPr>
                <w:noProof/>
                <w:webHidden/>
              </w:rPr>
            </w:r>
            <w:r w:rsidR="00001B1F">
              <w:rPr>
                <w:noProof/>
                <w:webHidden/>
              </w:rPr>
              <w:fldChar w:fldCharType="separate"/>
            </w:r>
            <w:r w:rsidR="00001B1F">
              <w:rPr>
                <w:noProof/>
                <w:webHidden/>
              </w:rPr>
              <w:t>28</w:t>
            </w:r>
            <w:r w:rsidR="00001B1F">
              <w:rPr>
                <w:noProof/>
                <w:webHidden/>
              </w:rPr>
              <w:fldChar w:fldCharType="end"/>
            </w:r>
          </w:hyperlink>
        </w:p>
        <w:p w14:paraId="34B3A06A" w14:textId="77777777" w:rsidR="00001B1F" w:rsidRDefault="00001B1F">
          <w:pPr>
            <w:pStyle w:val="TOC1"/>
            <w:rPr>
              <w:rStyle w:val="Hyperlink"/>
              <w:noProof/>
            </w:rPr>
          </w:pPr>
        </w:p>
        <w:p w14:paraId="12D74A88" w14:textId="580AE302" w:rsidR="00001B1F" w:rsidRDefault="006C2D52">
          <w:pPr>
            <w:pStyle w:val="TOC1"/>
            <w:rPr>
              <w:rFonts w:asciiTheme="minorHAnsi" w:eastAsiaTheme="minorEastAsia" w:hAnsiTheme="minorHAnsi" w:cstheme="minorBidi"/>
              <w:noProof/>
              <w:sz w:val="22"/>
              <w:szCs w:val="22"/>
            </w:rPr>
          </w:pPr>
          <w:hyperlink w:anchor="_Toc3360037" w:history="1">
            <w:r w:rsidR="00001B1F" w:rsidRPr="00303A84">
              <w:rPr>
                <w:rStyle w:val="Hyperlink"/>
                <w:i/>
                <w:noProof/>
              </w:rPr>
              <w:t>Appendix B</w:t>
            </w:r>
            <w:r w:rsidR="00001B1F">
              <w:rPr>
                <w:noProof/>
                <w:webHidden/>
              </w:rPr>
              <w:tab/>
            </w:r>
            <w:r w:rsidR="00001B1F">
              <w:rPr>
                <w:noProof/>
                <w:webHidden/>
              </w:rPr>
              <w:fldChar w:fldCharType="begin"/>
            </w:r>
            <w:r w:rsidR="00001B1F">
              <w:rPr>
                <w:noProof/>
                <w:webHidden/>
              </w:rPr>
              <w:instrText xml:space="preserve"> PAGEREF _Toc3360037 \h </w:instrText>
            </w:r>
            <w:r w:rsidR="00001B1F">
              <w:rPr>
                <w:noProof/>
                <w:webHidden/>
              </w:rPr>
            </w:r>
            <w:r w:rsidR="00001B1F">
              <w:rPr>
                <w:noProof/>
                <w:webHidden/>
              </w:rPr>
              <w:fldChar w:fldCharType="separate"/>
            </w:r>
            <w:r w:rsidR="00001B1F">
              <w:rPr>
                <w:noProof/>
                <w:webHidden/>
              </w:rPr>
              <w:t>29</w:t>
            </w:r>
            <w:r w:rsidR="00001B1F">
              <w:rPr>
                <w:noProof/>
                <w:webHidden/>
              </w:rPr>
              <w:fldChar w:fldCharType="end"/>
            </w:r>
          </w:hyperlink>
        </w:p>
        <w:p w14:paraId="685305B7" w14:textId="309EB612"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38" w:history="1">
            <w:r w:rsidR="00001B1F" w:rsidRPr="00303A84">
              <w:rPr>
                <w:rStyle w:val="Hyperlink"/>
                <w:i/>
                <w:noProof/>
              </w:rPr>
              <w:t>Actuarial Analysis of the Mississippi State Agencies Self-Insured Workers’ Compensation</w:t>
            </w:r>
          </w:hyperlink>
        </w:p>
        <w:p w14:paraId="540F342A" w14:textId="517F2BDB"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39" w:history="1">
            <w:r w:rsidR="00001B1F" w:rsidRPr="00303A84">
              <w:rPr>
                <w:rStyle w:val="Hyperlink"/>
                <w:i/>
                <w:noProof/>
              </w:rPr>
              <w:t>Trust as of June 30, 2018</w:t>
            </w:r>
            <w:r w:rsidR="00001B1F">
              <w:rPr>
                <w:noProof/>
                <w:webHidden/>
              </w:rPr>
              <w:tab/>
            </w:r>
            <w:r w:rsidR="00001B1F">
              <w:rPr>
                <w:noProof/>
                <w:webHidden/>
              </w:rPr>
              <w:fldChar w:fldCharType="begin"/>
            </w:r>
            <w:r w:rsidR="00001B1F">
              <w:rPr>
                <w:noProof/>
                <w:webHidden/>
              </w:rPr>
              <w:instrText xml:space="preserve"> PAGEREF _Toc3360039 \h </w:instrText>
            </w:r>
            <w:r w:rsidR="00001B1F">
              <w:rPr>
                <w:noProof/>
                <w:webHidden/>
              </w:rPr>
            </w:r>
            <w:r w:rsidR="00001B1F">
              <w:rPr>
                <w:noProof/>
                <w:webHidden/>
              </w:rPr>
              <w:fldChar w:fldCharType="separate"/>
            </w:r>
            <w:r w:rsidR="00001B1F">
              <w:rPr>
                <w:noProof/>
                <w:webHidden/>
              </w:rPr>
              <w:t>29</w:t>
            </w:r>
            <w:r w:rsidR="00001B1F">
              <w:rPr>
                <w:noProof/>
                <w:webHidden/>
              </w:rPr>
              <w:fldChar w:fldCharType="end"/>
            </w:r>
          </w:hyperlink>
        </w:p>
        <w:p w14:paraId="665124AB" w14:textId="42602768" w:rsidR="00001B1F" w:rsidRDefault="006C2D52">
          <w:pPr>
            <w:pStyle w:val="TOC1"/>
            <w:rPr>
              <w:rFonts w:asciiTheme="minorHAnsi" w:eastAsiaTheme="minorEastAsia" w:hAnsiTheme="minorHAnsi" w:cstheme="minorBidi"/>
              <w:noProof/>
              <w:sz w:val="22"/>
              <w:szCs w:val="22"/>
            </w:rPr>
          </w:pPr>
          <w:hyperlink w:anchor="_Toc3360040" w:history="1">
            <w:r w:rsidR="00001B1F" w:rsidRPr="00303A84">
              <w:rPr>
                <w:rStyle w:val="Hyperlink"/>
                <w:i/>
                <w:noProof/>
              </w:rPr>
              <w:t>Appendix C</w:t>
            </w:r>
            <w:r w:rsidR="00001B1F">
              <w:rPr>
                <w:noProof/>
                <w:webHidden/>
              </w:rPr>
              <w:tab/>
            </w:r>
            <w:r w:rsidR="00001B1F">
              <w:rPr>
                <w:noProof/>
                <w:webHidden/>
              </w:rPr>
              <w:fldChar w:fldCharType="begin"/>
            </w:r>
            <w:r w:rsidR="00001B1F">
              <w:rPr>
                <w:noProof/>
                <w:webHidden/>
              </w:rPr>
              <w:instrText xml:space="preserve"> PAGEREF _Toc3360040 \h </w:instrText>
            </w:r>
            <w:r w:rsidR="00001B1F">
              <w:rPr>
                <w:noProof/>
                <w:webHidden/>
              </w:rPr>
            </w:r>
            <w:r w:rsidR="00001B1F">
              <w:rPr>
                <w:noProof/>
                <w:webHidden/>
              </w:rPr>
              <w:fldChar w:fldCharType="separate"/>
            </w:r>
            <w:r w:rsidR="00001B1F">
              <w:rPr>
                <w:noProof/>
                <w:webHidden/>
              </w:rPr>
              <w:t>30</w:t>
            </w:r>
            <w:r w:rsidR="00001B1F">
              <w:rPr>
                <w:noProof/>
                <w:webHidden/>
              </w:rPr>
              <w:fldChar w:fldCharType="end"/>
            </w:r>
          </w:hyperlink>
        </w:p>
        <w:p w14:paraId="51F8A629" w14:textId="732ABDB1"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41" w:history="1">
            <w:r w:rsidR="00001B1F" w:rsidRPr="00303A84">
              <w:rPr>
                <w:rStyle w:val="Hyperlink"/>
                <w:i/>
                <w:noProof/>
              </w:rPr>
              <w:t>Mississippi State Agencies Self-Insured Workers’ Compensation Trust - Financial Report</w:t>
            </w:r>
          </w:hyperlink>
        </w:p>
        <w:p w14:paraId="4B0B5E44" w14:textId="0BE6D832"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42" w:history="1">
            <w:r w:rsidR="00001B1F" w:rsidRPr="00303A84">
              <w:rPr>
                <w:rStyle w:val="Hyperlink"/>
                <w:i/>
                <w:noProof/>
              </w:rPr>
              <w:t>as of June 30, 2018</w:t>
            </w:r>
            <w:r w:rsidR="00001B1F">
              <w:rPr>
                <w:noProof/>
                <w:webHidden/>
              </w:rPr>
              <w:tab/>
            </w:r>
            <w:r w:rsidR="00001B1F">
              <w:rPr>
                <w:noProof/>
                <w:webHidden/>
              </w:rPr>
              <w:fldChar w:fldCharType="begin"/>
            </w:r>
            <w:r w:rsidR="00001B1F">
              <w:rPr>
                <w:noProof/>
                <w:webHidden/>
              </w:rPr>
              <w:instrText xml:space="preserve"> PAGEREF _Toc3360042 \h </w:instrText>
            </w:r>
            <w:r w:rsidR="00001B1F">
              <w:rPr>
                <w:noProof/>
                <w:webHidden/>
              </w:rPr>
            </w:r>
            <w:r w:rsidR="00001B1F">
              <w:rPr>
                <w:noProof/>
                <w:webHidden/>
              </w:rPr>
              <w:fldChar w:fldCharType="separate"/>
            </w:r>
            <w:r w:rsidR="00001B1F">
              <w:rPr>
                <w:noProof/>
                <w:webHidden/>
              </w:rPr>
              <w:t>30</w:t>
            </w:r>
            <w:r w:rsidR="00001B1F">
              <w:rPr>
                <w:noProof/>
                <w:webHidden/>
              </w:rPr>
              <w:fldChar w:fldCharType="end"/>
            </w:r>
          </w:hyperlink>
        </w:p>
        <w:p w14:paraId="0E2C3BB6" w14:textId="22A16886" w:rsidR="00001B1F" w:rsidRDefault="006C2D52">
          <w:pPr>
            <w:pStyle w:val="TOC1"/>
            <w:rPr>
              <w:rFonts w:asciiTheme="minorHAnsi" w:eastAsiaTheme="minorEastAsia" w:hAnsiTheme="minorHAnsi" w:cstheme="minorBidi"/>
              <w:noProof/>
              <w:sz w:val="22"/>
              <w:szCs w:val="22"/>
            </w:rPr>
          </w:pPr>
          <w:hyperlink w:anchor="_Toc3360043" w:history="1">
            <w:r w:rsidR="00001B1F" w:rsidRPr="00303A84">
              <w:rPr>
                <w:rStyle w:val="Hyperlink"/>
                <w:i/>
                <w:noProof/>
              </w:rPr>
              <w:t>Appendix D</w:t>
            </w:r>
            <w:r w:rsidR="00001B1F">
              <w:rPr>
                <w:noProof/>
                <w:webHidden/>
              </w:rPr>
              <w:tab/>
            </w:r>
            <w:r w:rsidR="00001B1F">
              <w:rPr>
                <w:noProof/>
                <w:webHidden/>
              </w:rPr>
              <w:fldChar w:fldCharType="begin"/>
            </w:r>
            <w:r w:rsidR="00001B1F">
              <w:rPr>
                <w:noProof/>
                <w:webHidden/>
              </w:rPr>
              <w:instrText xml:space="preserve"> PAGEREF _Toc3360043 \h </w:instrText>
            </w:r>
            <w:r w:rsidR="00001B1F">
              <w:rPr>
                <w:noProof/>
                <w:webHidden/>
              </w:rPr>
            </w:r>
            <w:r w:rsidR="00001B1F">
              <w:rPr>
                <w:noProof/>
                <w:webHidden/>
              </w:rPr>
              <w:fldChar w:fldCharType="separate"/>
            </w:r>
            <w:r w:rsidR="00001B1F">
              <w:rPr>
                <w:noProof/>
                <w:webHidden/>
              </w:rPr>
              <w:t>31</w:t>
            </w:r>
            <w:r w:rsidR="00001B1F">
              <w:rPr>
                <w:noProof/>
                <w:webHidden/>
              </w:rPr>
              <w:fldChar w:fldCharType="end"/>
            </w:r>
          </w:hyperlink>
        </w:p>
        <w:p w14:paraId="51FB62E6" w14:textId="5693F2BC"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44" w:history="1">
            <w:r w:rsidR="00001B1F" w:rsidRPr="00303A84">
              <w:rPr>
                <w:rStyle w:val="Hyperlink"/>
                <w:i/>
                <w:noProof/>
              </w:rPr>
              <w:t>Mississippi State Agencies Self-Insured WC Trust - Loss Run Summary with Current Paid</w:t>
            </w:r>
          </w:hyperlink>
        </w:p>
        <w:p w14:paraId="340DEAB8" w14:textId="61D46681"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45" w:history="1">
            <w:r w:rsidR="00001B1F" w:rsidRPr="00303A84">
              <w:rPr>
                <w:rStyle w:val="Hyperlink"/>
                <w:i/>
                <w:noProof/>
              </w:rPr>
              <w:t>as of June 30, 2018</w:t>
            </w:r>
            <w:r w:rsidR="00001B1F">
              <w:rPr>
                <w:noProof/>
                <w:webHidden/>
              </w:rPr>
              <w:tab/>
            </w:r>
            <w:r w:rsidR="00001B1F">
              <w:rPr>
                <w:noProof/>
                <w:webHidden/>
              </w:rPr>
              <w:fldChar w:fldCharType="begin"/>
            </w:r>
            <w:r w:rsidR="00001B1F">
              <w:rPr>
                <w:noProof/>
                <w:webHidden/>
              </w:rPr>
              <w:instrText xml:space="preserve"> PAGEREF _Toc3360045 \h </w:instrText>
            </w:r>
            <w:r w:rsidR="00001B1F">
              <w:rPr>
                <w:noProof/>
                <w:webHidden/>
              </w:rPr>
            </w:r>
            <w:r w:rsidR="00001B1F">
              <w:rPr>
                <w:noProof/>
                <w:webHidden/>
              </w:rPr>
              <w:fldChar w:fldCharType="separate"/>
            </w:r>
            <w:r w:rsidR="00001B1F">
              <w:rPr>
                <w:noProof/>
                <w:webHidden/>
              </w:rPr>
              <w:t>31</w:t>
            </w:r>
            <w:r w:rsidR="00001B1F">
              <w:rPr>
                <w:noProof/>
                <w:webHidden/>
              </w:rPr>
              <w:fldChar w:fldCharType="end"/>
            </w:r>
          </w:hyperlink>
        </w:p>
        <w:p w14:paraId="14F27488" w14:textId="1A8E6267" w:rsidR="00001B1F" w:rsidRDefault="006C2D52">
          <w:pPr>
            <w:pStyle w:val="TOC1"/>
            <w:rPr>
              <w:rFonts w:asciiTheme="minorHAnsi" w:eastAsiaTheme="minorEastAsia" w:hAnsiTheme="minorHAnsi" w:cstheme="minorBidi"/>
              <w:noProof/>
              <w:sz w:val="22"/>
              <w:szCs w:val="22"/>
            </w:rPr>
          </w:pPr>
          <w:hyperlink w:anchor="_Toc3360046" w:history="1">
            <w:r w:rsidR="00001B1F" w:rsidRPr="00303A84">
              <w:rPr>
                <w:rStyle w:val="Hyperlink"/>
                <w:i/>
                <w:noProof/>
              </w:rPr>
              <w:t>Appendix E</w:t>
            </w:r>
            <w:r w:rsidR="00001B1F">
              <w:rPr>
                <w:noProof/>
                <w:webHidden/>
              </w:rPr>
              <w:tab/>
            </w:r>
            <w:r w:rsidR="00001B1F">
              <w:rPr>
                <w:noProof/>
                <w:webHidden/>
              </w:rPr>
              <w:fldChar w:fldCharType="begin"/>
            </w:r>
            <w:r w:rsidR="00001B1F">
              <w:rPr>
                <w:noProof/>
                <w:webHidden/>
              </w:rPr>
              <w:instrText xml:space="preserve"> PAGEREF _Toc3360046 \h </w:instrText>
            </w:r>
            <w:r w:rsidR="00001B1F">
              <w:rPr>
                <w:noProof/>
                <w:webHidden/>
              </w:rPr>
            </w:r>
            <w:r w:rsidR="00001B1F">
              <w:rPr>
                <w:noProof/>
                <w:webHidden/>
              </w:rPr>
              <w:fldChar w:fldCharType="separate"/>
            </w:r>
            <w:r w:rsidR="00001B1F">
              <w:rPr>
                <w:noProof/>
                <w:webHidden/>
              </w:rPr>
              <w:t>32</w:t>
            </w:r>
            <w:r w:rsidR="00001B1F">
              <w:rPr>
                <w:noProof/>
                <w:webHidden/>
              </w:rPr>
              <w:fldChar w:fldCharType="end"/>
            </w:r>
          </w:hyperlink>
        </w:p>
        <w:p w14:paraId="346D3729" w14:textId="676EB1E5"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47" w:history="1">
            <w:r w:rsidR="00001B1F" w:rsidRPr="00303A84">
              <w:rPr>
                <w:rStyle w:val="Hyperlink"/>
                <w:i/>
                <w:noProof/>
              </w:rPr>
              <w:t>Actuarial Analysis of the Mississippi State Agencies Employment Compensation Revolving</w:t>
            </w:r>
          </w:hyperlink>
        </w:p>
        <w:p w14:paraId="5CE9EABF" w14:textId="2C8EFBB5"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48" w:history="1">
            <w:r w:rsidR="00001B1F" w:rsidRPr="00303A84">
              <w:rPr>
                <w:rStyle w:val="Hyperlink"/>
                <w:i/>
                <w:noProof/>
              </w:rPr>
              <w:t>Fund as of June 30, 2018</w:t>
            </w:r>
            <w:r w:rsidR="00001B1F">
              <w:rPr>
                <w:noProof/>
                <w:webHidden/>
              </w:rPr>
              <w:tab/>
            </w:r>
            <w:r w:rsidR="00001B1F">
              <w:rPr>
                <w:noProof/>
                <w:webHidden/>
              </w:rPr>
              <w:fldChar w:fldCharType="begin"/>
            </w:r>
            <w:r w:rsidR="00001B1F">
              <w:rPr>
                <w:noProof/>
                <w:webHidden/>
              </w:rPr>
              <w:instrText xml:space="preserve"> PAGEREF _Toc3360048 \h </w:instrText>
            </w:r>
            <w:r w:rsidR="00001B1F">
              <w:rPr>
                <w:noProof/>
                <w:webHidden/>
              </w:rPr>
            </w:r>
            <w:r w:rsidR="00001B1F">
              <w:rPr>
                <w:noProof/>
                <w:webHidden/>
              </w:rPr>
              <w:fldChar w:fldCharType="separate"/>
            </w:r>
            <w:r w:rsidR="00001B1F">
              <w:rPr>
                <w:noProof/>
                <w:webHidden/>
              </w:rPr>
              <w:t>32</w:t>
            </w:r>
            <w:r w:rsidR="00001B1F">
              <w:rPr>
                <w:noProof/>
                <w:webHidden/>
              </w:rPr>
              <w:fldChar w:fldCharType="end"/>
            </w:r>
          </w:hyperlink>
        </w:p>
        <w:p w14:paraId="14DF8CD6" w14:textId="402BAA41" w:rsidR="00001B1F" w:rsidRDefault="006C2D52">
          <w:pPr>
            <w:pStyle w:val="TOC1"/>
            <w:rPr>
              <w:rFonts w:asciiTheme="minorHAnsi" w:eastAsiaTheme="minorEastAsia" w:hAnsiTheme="minorHAnsi" w:cstheme="minorBidi"/>
              <w:noProof/>
              <w:sz w:val="22"/>
              <w:szCs w:val="22"/>
            </w:rPr>
          </w:pPr>
          <w:hyperlink w:anchor="_Toc3360049" w:history="1">
            <w:r w:rsidR="00001B1F" w:rsidRPr="00303A84">
              <w:rPr>
                <w:rStyle w:val="Hyperlink"/>
                <w:i/>
                <w:noProof/>
              </w:rPr>
              <w:t>Appendix F</w:t>
            </w:r>
            <w:r w:rsidR="00001B1F">
              <w:rPr>
                <w:noProof/>
                <w:webHidden/>
              </w:rPr>
              <w:tab/>
            </w:r>
            <w:r w:rsidR="00001B1F">
              <w:rPr>
                <w:noProof/>
                <w:webHidden/>
              </w:rPr>
              <w:fldChar w:fldCharType="begin"/>
            </w:r>
            <w:r w:rsidR="00001B1F">
              <w:rPr>
                <w:noProof/>
                <w:webHidden/>
              </w:rPr>
              <w:instrText xml:space="preserve"> PAGEREF _Toc3360049 \h </w:instrText>
            </w:r>
            <w:r w:rsidR="00001B1F">
              <w:rPr>
                <w:noProof/>
                <w:webHidden/>
              </w:rPr>
            </w:r>
            <w:r w:rsidR="00001B1F">
              <w:rPr>
                <w:noProof/>
                <w:webHidden/>
              </w:rPr>
              <w:fldChar w:fldCharType="separate"/>
            </w:r>
            <w:r w:rsidR="00001B1F">
              <w:rPr>
                <w:noProof/>
                <w:webHidden/>
              </w:rPr>
              <w:t>33</w:t>
            </w:r>
            <w:r w:rsidR="00001B1F">
              <w:rPr>
                <w:noProof/>
                <w:webHidden/>
              </w:rPr>
              <w:fldChar w:fldCharType="end"/>
            </w:r>
          </w:hyperlink>
        </w:p>
        <w:p w14:paraId="5F2AB359" w14:textId="1D125BE0"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50" w:history="1">
            <w:r w:rsidR="00001B1F" w:rsidRPr="00303A84">
              <w:rPr>
                <w:rStyle w:val="Hyperlink"/>
                <w:i/>
                <w:noProof/>
              </w:rPr>
              <w:t>FY 2018 Mississippi State Agencies Employment Compensation Revolving Fund</w:t>
            </w:r>
          </w:hyperlink>
        </w:p>
        <w:p w14:paraId="042F53B9" w14:textId="1F4D3B3C" w:rsidR="00001B1F" w:rsidRDefault="006C2D52" w:rsidP="00001B1F">
          <w:pPr>
            <w:pStyle w:val="TOC2"/>
            <w:spacing w:line="240" w:lineRule="auto"/>
            <w:rPr>
              <w:rFonts w:asciiTheme="minorHAnsi" w:eastAsiaTheme="minorEastAsia" w:hAnsiTheme="minorHAnsi" w:cstheme="minorBidi"/>
              <w:noProof/>
              <w:sz w:val="22"/>
              <w:szCs w:val="22"/>
            </w:rPr>
          </w:pPr>
          <w:hyperlink w:anchor="_Toc3360051" w:history="1">
            <w:r w:rsidR="00001B1F" w:rsidRPr="00303A84">
              <w:rPr>
                <w:rStyle w:val="Hyperlink"/>
                <w:i/>
                <w:noProof/>
              </w:rPr>
              <w:t>Financial Report</w:t>
            </w:r>
            <w:r w:rsidR="00001B1F">
              <w:rPr>
                <w:noProof/>
                <w:webHidden/>
              </w:rPr>
              <w:tab/>
            </w:r>
            <w:r w:rsidR="00001B1F">
              <w:rPr>
                <w:noProof/>
                <w:webHidden/>
              </w:rPr>
              <w:fldChar w:fldCharType="begin"/>
            </w:r>
            <w:r w:rsidR="00001B1F">
              <w:rPr>
                <w:noProof/>
                <w:webHidden/>
              </w:rPr>
              <w:instrText xml:space="preserve"> PAGEREF _Toc3360051 \h </w:instrText>
            </w:r>
            <w:r w:rsidR="00001B1F">
              <w:rPr>
                <w:noProof/>
                <w:webHidden/>
              </w:rPr>
            </w:r>
            <w:r w:rsidR="00001B1F">
              <w:rPr>
                <w:noProof/>
                <w:webHidden/>
              </w:rPr>
              <w:fldChar w:fldCharType="separate"/>
            </w:r>
            <w:r w:rsidR="00001B1F">
              <w:rPr>
                <w:noProof/>
                <w:webHidden/>
              </w:rPr>
              <w:t>33</w:t>
            </w:r>
            <w:r w:rsidR="00001B1F">
              <w:rPr>
                <w:noProof/>
                <w:webHidden/>
              </w:rPr>
              <w:fldChar w:fldCharType="end"/>
            </w:r>
          </w:hyperlink>
        </w:p>
        <w:p w14:paraId="1D8DC6D4" w14:textId="195DA5BB" w:rsidR="00D1375F" w:rsidRDefault="00D1375F" w:rsidP="00794EFF">
          <w:pPr>
            <w:spacing w:before="120" w:after="120"/>
          </w:pPr>
          <w:r>
            <w:rPr>
              <w:b/>
              <w:bCs/>
              <w:noProof/>
            </w:rPr>
            <w:fldChar w:fldCharType="end"/>
          </w:r>
        </w:p>
      </w:sdtContent>
    </w:sdt>
    <w:p w14:paraId="63117480" w14:textId="77777777" w:rsidR="00D1375F" w:rsidRDefault="00D1375F" w:rsidP="0026717E">
      <w:pPr>
        <w:pStyle w:val="Title"/>
        <w:jc w:val="left"/>
        <w:rPr>
          <w:b w:val="0"/>
        </w:rPr>
      </w:pPr>
    </w:p>
    <w:p w14:paraId="729A655B" w14:textId="442D8E78" w:rsidR="005F0F6E" w:rsidRDefault="005F0F6E">
      <w:pPr>
        <w:pStyle w:val="Title"/>
      </w:pPr>
    </w:p>
    <w:p w14:paraId="22BF6E35" w14:textId="337997E9" w:rsidR="00920DD3" w:rsidRDefault="00920DD3">
      <w:pPr>
        <w:pStyle w:val="Title"/>
      </w:pPr>
    </w:p>
    <w:p w14:paraId="497BB9BA" w14:textId="77777777" w:rsidR="00920DD3" w:rsidRDefault="00920DD3" w:rsidP="00920DD3">
      <w:pPr>
        <w:pStyle w:val="Title"/>
        <w:jc w:val="left"/>
      </w:pPr>
    </w:p>
    <w:p w14:paraId="49545EB7" w14:textId="77777777" w:rsidR="00866883" w:rsidRDefault="00866883">
      <w:pPr>
        <w:rPr>
          <w:b/>
          <w:bCs/>
        </w:rPr>
      </w:pPr>
      <w:bookmarkStart w:id="0" w:name="_Toc503790487"/>
      <w:r>
        <w:br w:type="page"/>
      </w:r>
    </w:p>
    <w:p w14:paraId="282F41FB" w14:textId="3CC76AAE" w:rsidR="00F01679" w:rsidRPr="009E5C76" w:rsidRDefault="00F01679" w:rsidP="009E5C76">
      <w:pPr>
        <w:pStyle w:val="Heading1"/>
        <w:rPr>
          <w:sz w:val="24"/>
        </w:rPr>
      </w:pPr>
      <w:bookmarkStart w:id="1" w:name="_Toc3360001"/>
      <w:r w:rsidRPr="009E5C76">
        <w:rPr>
          <w:sz w:val="24"/>
        </w:rPr>
        <w:t>Section 1. INTRODUCTION</w:t>
      </w:r>
      <w:bookmarkEnd w:id="0"/>
      <w:bookmarkEnd w:id="1"/>
    </w:p>
    <w:p w14:paraId="3802FFA5" w14:textId="77777777" w:rsidR="00BE764A" w:rsidRPr="00BE764A" w:rsidRDefault="00BE764A" w:rsidP="00E32100">
      <w:pPr>
        <w:jc w:val="both"/>
      </w:pPr>
    </w:p>
    <w:p w14:paraId="66161F07" w14:textId="77777777" w:rsidR="00D1375F" w:rsidRDefault="00F01679" w:rsidP="002862EE">
      <w:pPr>
        <w:pStyle w:val="Heading2"/>
        <w:numPr>
          <w:ilvl w:val="1"/>
          <w:numId w:val="1"/>
        </w:numPr>
        <w:spacing w:line="360" w:lineRule="auto"/>
        <w:ind w:left="418" w:hanging="418"/>
        <w:jc w:val="both"/>
        <w:rPr>
          <w:sz w:val="24"/>
        </w:rPr>
      </w:pPr>
      <w:bookmarkStart w:id="2" w:name="_Toc3360002"/>
      <w:r w:rsidRPr="00D1375F">
        <w:rPr>
          <w:sz w:val="24"/>
        </w:rPr>
        <w:t>Overview and Process</w:t>
      </w:r>
      <w:bookmarkEnd w:id="2"/>
    </w:p>
    <w:p w14:paraId="4058928B" w14:textId="77777777" w:rsidR="008B28A0" w:rsidRDefault="00433DBB" w:rsidP="00C4494F">
      <w:pPr>
        <w:pStyle w:val="NoSpacing"/>
        <w:ind w:left="0"/>
      </w:pPr>
      <w:r>
        <w:t xml:space="preserve">On behalf of the </w:t>
      </w:r>
      <w:r w:rsidR="003D73C0" w:rsidRPr="006712AF">
        <w:t>Board of Trustees (Board) for the Mississippi State Agencies Self-Insured Workers’ Compensation Trust (Trust)</w:t>
      </w:r>
      <w:r>
        <w:t xml:space="preserve">, the Mississippi </w:t>
      </w:r>
      <w:r w:rsidRPr="006712AF">
        <w:t xml:space="preserve">Department of Finance and Administration (DFA) </w:t>
      </w:r>
      <w:r w:rsidR="003D73C0" w:rsidRPr="006712AF">
        <w:t xml:space="preserve">is seeking a </w:t>
      </w:r>
      <w:r w:rsidR="003D73C0">
        <w:t>vendor</w:t>
      </w:r>
      <w:r w:rsidR="003D73C0" w:rsidRPr="006712AF">
        <w:t xml:space="preserve"> to provide </w:t>
      </w:r>
      <w:r w:rsidR="003D73C0">
        <w:t>actuarial consulting</w:t>
      </w:r>
      <w:r w:rsidR="003D73C0" w:rsidRPr="006712AF">
        <w:t xml:space="preserve"> services to assist the Board in the operation of its self-insured </w:t>
      </w:r>
      <w:r w:rsidR="003D73C0">
        <w:t xml:space="preserve">workers’ compensation program.  </w:t>
      </w:r>
      <w:r w:rsidR="003D73C0" w:rsidRPr="006712AF">
        <w:t>The Board</w:t>
      </w:r>
      <w:r w:rsidR="003D73C0" w:rsidRPr="00320163">
        <w:t>, through DFA,</w:t>
      </w:r>
      <w:r w:rsidR="003D73C0">
        <w:t xml:space="preserve"> </w:t>
      </w:r>
      <w:r w:rsidR="003D73C0" w:rsidRPr="006712AF">
        <w:t>desires to contract with a</w:t>
      </w:r>
      <w:r w:rsidR="003D73C0">
        <w:t>n actuary</w:t>
      </w:r>
      <w:r w:rsidR="003D73C0" w:rsidRPr="006712AF">
        <w:t xml:space="preserve"> </w:t>
      </w:r>
      <w:r w:rsidR="003D73C0">
        <w:t>that specializes</w:t>
      </w:r>
      <w:r w:rsidR="003D73C0" w:rsidRPr="006712AF">
        <w:t xml:space="preserve"> in providing </w:t>
      </w:r>
      <w:r w:rsidR="003D73C0">
        <w:t>actuarial consulting</w:t>
      </w:r>
      <w:r w:rsidR="003D73C0" w:rsidRPr="006712AF">
        <w:t xml:space="preserve"> services to large self-insured </w:t>
      </w:r>
      <w:r w:rsidR="003D73C0" w:rsidRPr="00331F26">
        <w:t>workers’ compensation programs</w:t>
      </w:r>
      <w:r w:rsidR="003D73C0">
        <w:t>,</w:t>
      </w:r>
      <w:r w:rsidR="003D73C0" w:rsidRPr="006712AF">
        <w:t xml:space="preserve"> and </w:t>
      </w:r>
      <w:r w:rsidR="003D73C0">
        <w:t>that has</w:t>
      </w:r>
      <w:r w:rsidR="003D73C0" w:rsidRPr="006712AF">
        <w:t xml:space="preserve"> prior experience directly related </w:t>
      </w:r>
      <w:r w:rsidR="003D73C0">
        <w:t xml:space="preserve">to the services requested in this RFP.  In addition, DFA desires that the vendor be able and qualified to provide actuarial </w:t>
      </w:r>
      <w:r w:rsidR="00CA137E">
        <w:t xml:space="preserve">consulting </w:t>
      </w:r>
      <w:r w:rsidR="003D73C0">
        <w:t>services regarding the State Agencies Employment Compensation Revolving Fund</w:t>
      </w:r>
      <w:r>
        <w:t xml:space="preserve"> (Fund), the unemployment self-insurance pool maintained for agencies and departments of the State of Mississippi</w:t>
      </w:r>
      <w:r w:rsidR="003D73C0">
        <w:t xml:space="preserve">. </w:t>
      </w:r>
      <w:r>
        <w:t xml:space="preserve"> DFA </w:t>
      </w:r>
      <w:r w:rsidRPr="006712AF">
        <w:t xml:space="preserve">provides administrative support to the Board </w:t>
      </w:r>
      <w:r>
        <w:t xml:space="preserve">and manages the Fund, </w:t>
      </w:r>
      <w:r w:rsidRPr="006712AF">
        <w:t xml:space="preserve">and is coordinating this Request for Proposal (RFP).  </w:t>
      </w:r>
    </w:p>
    <w:p w14:paraId="6B37E84E" w14:textId="77D180EC" w:rsidR="00505281" w:rsidRDefault="008B28A0" w:rsidP="00C4494F">
      <w:pPr>
        <w:pStyle w:val="NoSpacing"/>
        <w:ind w:left="0"/>
        <w:rPr>
          <w:rStyle w:val="Hyperlink"/>
        </w:rPr>
      </w:pPr>
      <w:r>
        <w:t>DFA</w:t>
      </w:r>
      <w:r w:rsidR="003D73C0">
        <w:t xml:space="preserve"> </w:t>
      </w:r>
      <w:r w:rsidR="0010401F">
        <w:t>seeks to enter into a firm fixed price contract</w:t>
      </w:r>
      <w:r>
        <w:t xml:space="preserve"> for the aforementioned services</w:t>
      </w:r>
      <w:r w:rsidR="0010401F">
        <w:t xml:space="preserve">. </w:t>
      </w:r>
      <w:r w:rsidR="00C74F93">
        <w:t xml:space="preserve">A draft contract has been included as Appendix A in this RFP for your review and comment.  </w:t>
      </w:r>
      <w:r w:rsidR="0010401F">
        <w:t xml:space="preserve">This contract will </w:t>
      </w:r>
      <w:r w:rsidR="00850FE5">
        <w:t xml:space="preserve">run from </w:t>
      </w:r>
      <w:r w:rsidR="003263B8">
        <w:t>May10, 2019 through June 30, 202</w:t>
      </w:r>
      <w:r w:rsidR="00850FE5">
        <w:t xml:space="preserve">3, with an option to </w:t>
      </w:r>
      <w:r w:rsidR="0010401F">
        <w:t xml:space="preserve">renew for one (1) </w:t>
      </w:r>
      <w:r w:rsidR="00850FE5">
        <w:t xml:space="preserve">additional </w:t>
      </w:r>
      <w:r w:rsidR="0010401F">
        <w:t xml:space="preserve">year at </w:t>
      </w:r>
      <w:r>
        <w:t>DFA’s</w:t>
      </w:r>
      <w:r w:rsidR="0010401F">
        <w:t xml:space="preserve"> discretion.  </w:t>
      </w:r>
      <w:r w:rsidR="0010401F" w:rsidRPr="00433DBB">
        <w:rPr>
          <w:rFonts w:cs="Times New Roman"/>
        </w:rPr>
        <w:t xml:space="preserve">Implementation and/or transition services provided by the selected vendor prior to the </w:t>
      </w:r>
      <w:r w:rsidR="00403784" w:rsidRPr="00433DBB">
        <w:t xml:space="preserve">May </w:t>
      </w:r>
      <w:r w:rsidR="00CF77FF" w:rsidRPr="00433DBB">
        <w:t>1</w:t>
      </w:r>
      <w:r w:rsidR="00403784" w:rsidRPr="00433DBB">
        <w:t>0</w:t>
      </w:r>
      <w:r w:rsidR="00884B9C" w:rsidRPr="00433DBB">
        <w:t xml:space="preserve">, 2019 </w:t>
      </w:r>
      <w:r w:rsidR="0010401F" w:rsidRPr="00433DBB">
        <w:rPr>
          <w:rFonts w:cs="Times New Roman"/>
        </w:rPr>
        <w:t xml:space="preserve">contract effective date are not compensable; as such, any costs incurred by the vendor prior to </w:t>
      </w:r>
      <w:r w:rsidR="00403784" w:rsidRPr="00433DBB">
        <w:t xml:space="preserve">May </w:t>
      </w:r>
      <w:r w:rsidR="00CF77FF" w:rsidRPr="00433DBB">
        <w:t>1</w:t>
      </w:r>
      <w:r w:rsidR="00403784" w:rsidRPr="00433DBB">
        <w:t>0</w:t>
      </w:r>
      <w:r w:rsidR="00884B9C" w:rsidRPr="00433DBB">
        <w:t xml:space="preserve">, 2019 </w:t>
      </w:r>
      <w:r w:rsidR="0010401F" w:rsidRPr="00433DBB">
        <w:rPr>
          <w:rFonts w:cs="Times New Roman"/>
        </w:rPr>
        <w:t xml:space="preserve">may not be invoiced to the </w:t>
      </w:r>
      <w:r w:rsidR="00D6629A" w:rsidRPr="00433DBB">
        <w:rPr>
          <w:rFonts w:cs="Times New Roman"/>
        </w:rPr>
        <w:t>Board</w:t>
      </w:r>
      <w:r>
        <w:rPr>
          <w:rFonts w:cs="Times New Roman"/>
        </w:rPr>
        <w:t xml:space="preserve"> or DFA</w:t>
      </w:r>
      <w:r w:rsidR="00D6629A" w:rsidRPr="00433DBB">
        <w:rPr>
          <w:rFonts w:cs="Times New Roman"/>
        </w:rPr>
        <w:t xml:space="preserve">. </w:t>
      </w:r>
      <w:r w:rsidR="00505281" w:rsidRPr="00433DBB">
        <w:t>This procurement and any resulting contract shall be governed</w:t>
      </w:r>
      <w:r>
        <w:t xml:space="preserve"> </w:t>
      </w:r>
      <w:r w:rsidR="00505281">
        <w:t xml:space="preserve">by the applicable provisions of the </w:t>
      </w:r>
      <w:r w:rsidR="00505281" w:rsidRPr="009529F6">
        <w:rPr>
          <w:i/>
        </w:rPr>
        <w:t>Mississippi Public Procurement Review Board Office of Personal Service Contract Review Rules and Regulations</w:t>
      </w:r>
      <w:r w:rsidR="00505281">
        <w:t xml:space="preserve">, a copy of which is available at 501 N. West Street, Suite 701E, Jackson, Mississippi 39201 for inspection, </w:t>
      </w:r>
      <w:r>
        <w:t xml:space="preserve">or </w:t>
      </w:r>
      <w:r w:rsidR="00505281">
        <w:t xml:space="preserve">at </w:t>
      </w:r>
      <w:hyperlink r:id="rId12" w:history="1">
        <w:r w:rsidR="00505281" w:rsidRPr="003A7B1C">
          <w:rPr>
            <w:rStyle w:val="Hyperlink"/>
          </w:rPr>
          <w:t>http://www.dfa.ms.gov/dfa-offices/personal-service-contract-review/pscrb-rules-regulations/</w:t>
        </w:r>
      </w:hyperlink>
    </w:p>
    <w:p w14:paraId="1DBE1891" w14:textId="43AFF7AE" w:rsidR="00BE764A" w:rsidRDefault="00CA137E" w:rsidP="00C4494F">
      <w:pPr>
        <w:pStyle w:val="NoSpacing"/>
        <w:ind w:left="0"/>
      </w:pPr>
      <w:r>
        <w:t xml:space="preserve">A copy of this RFP, including any subsequent amendments, along with a copy of all questions from vendors and responses to those questions, will be posted on DFA’s website under the heading “Bid and RFP Notices” at </w:t>
      </w:r>
      <w:hyperlink r:id="rId13" w:history="1">
        <w:r w:rsidRPr="005D5DEB">
          <w:rPr>
            <w:rStyle w:val="Hyperlink"/>
          </w:rPr>
          <w:t>http://www.dfa.ms.gov/bid-rfp-notices/</w:t>
        </w:r>
      </w:hyperlink>
      <w:r>
        <w:t xml:space="preserve">.  </w:t>
      </w:r>
      <w:r w:rsidR="0041346E">
        <w:t xml:space="preserve">Before the award of any contract, the </w:t>
      </w:r>
      <w:r w:rsidR="002725B7">
        <w:t>proposer</w:t>
      </w:r>
      <w:r w:rsidR="0041346E">
        <w:t xml:space="preserve"> will be required to document to the </w:t>
      </w:r>
      <w:r w:rsidR="006564C1">
        <w:t>DFA</w:t>
      </w:r>
      <w:r w:rsidR="00674AA4">
        <w:t xml:space="preserve"> </w:t>
      </w:r>
      <w:r w:rsidR="0041346E">
        <w:t xml:space="preserve">that it has the necessary capabilities to provide the services specified in this RFP.  The </w:t>
      </w:r>
      <w:r w:rsidR="002725B7">
        <w:t>proposer</w:t>
      </w:r>
      <w:r w:rsidR="0041346E">
        <w:t xml:space="preserve"> may also be required to provide additional client references, as well as related project experience detail in order to satisfy the </w:t>
      </w:r>
      <w:r w:rsidR="006564C1">
        <w:t>DFA</w:t>
      </w:r>
      <w:r w:rsidR="0041346E">
        <w:t xml:space="preserve"> that the </w:t>
      </w:r>
      <w:r w:rsidR="002725B7">
        <w:t>proposer</w:t>
      </w:r>
      <w:r w:rsidR="0041346E">
        <w:t xml:space="preserve"> is qualified.  The </w:t>
      </w:r>
      <w:r w:rsidR="006564C1">
        <w:t>DFA</w:t>
      </w:r>
      <w:r w:rsidR="0041346E">
        <w:t xml:space="preserve"> may make reasonable investigations, as it deems necessary and proper, to determine the ability of the </w:t>
      </w:r>
      <w:r w:rsidR="002725B7">
        <w:t>proposer</w:t>
      </w:r>
      <w:r w:rsidR="0041346E">
        <w:t xml:space="preserve"> to perform the work, and </w:t>
      </w:r>
      <w:r w:rsidR="005B4E88">
        <w:t>vendor</w:t>
      </w:r>
      <w:r w:rsidR="0041346E">
        <w:t xml:space="preserve"> shall be required to furnish to the </w:t>
      </w:r>
      <w:r w:rsidR="006564C1">
        <w:t>DFA</w:t>
      </w:r>
      <w:r w:rsidR="0041346E">
        <w:t xml:space="preserve"> all information that may be requested for this purpose.  The </w:t>
      </w:r>
      <w:r w:rsidR="006564C1">
        <w:t>DFA</w:t>
      </w:r>
      <w:r w:rsidR="0041346E">
        <w:t xml:space="preserve"> reserves the right to reject any proposal if the </w:t>
      </w:r>
      <w:r w:rsidR="002725B7">
        <w:t>proposer</w:t>
      </w:r>
      <w:r w:rsidR="0041346E">
        <w:t xml:space="preserve"> fails to provide the requested information and/or fails to satisfy the </w:t>
      </w:r>
      <w:r w:rsidR="006564C1">
        <w:t>DFA</w:t>
      </w:r>
      <w:r w:rsidR="0041346E">
        <w:t xml:space="preserve"> that the proposer is properly qualified to carry out the obligations of the contract and to complete the work described in this RFP.</w:t>
      </w:r>
    </w:p>
    <w:p w14:paraId="0CBC0442" w14:textId="77777777" w:rsidR="00615714" w:rsidRDefault="00674AA4" w:rsidP="00674AA4">
      <w:pPr>
        <w:jc w:val="both"/>
        <w:rPr>
          <w:b/>
        </w:rPr>
      </w:pPr>
      <w:r w:rsidRPr="00615714">
        <w:rPr>
          <w:b/>
        </w:rPr>
        <w:t>Mississippi State Agencies Self-Insured Workers' Compensation Trust</w:t>
      </w:r>
    </w:p>
    <w:p w14:paraId="3B970CB5" w14:textId="77777777" w:rsidR="008038F6" w:rsidRDefault="008038F6" w:rsidP="00674AA4">
      <w:pPr>
        <w:jc w:val="both"/>
        <w:rPr>
          <w:b/>
        </w:rPr>
      </w:pPr>
    </w:p>
    <w:p w14:paraId="2D762B33" w14:textId="16D1B881" w:rsidR="00674AA4" w:rsidRDefault="00615714" w:rsidP="00674AA4">
      <w:pPr>
        <w:jc w:val="both"/>
      </w:pPr>
      <w:r w:rsidRPr="00615714">
        <w:t>The Trust</w:t>
      </w:r>
      <w:r w:rsidR="00674AA4" w:rsidRPr="00452204">
        <w:t xml:space="preserve"> began operations on July 1, 1990.  The Trust provides a depository for the funds collected from participating State agencies to discharge their legal liabilities under the Mississippi Workers' Compensation Law, and administers, through its Board of Trustees, such assets in accordance with such law. </w:t>
      </w:r>
      <w:r w:rsidR="00674AA4">
        <w:t xml:space="preserve"> </w:t>
      </w:r>
      <w:r w:rsidR="00674AA4" w:rsidRPr="00452204">
        <w:t xml:space="preserve">The Trust currently provides workers’ compensation coverage and risk control services to the approximately 100 state agencies, boards, and commissions participating in this program, representing nearly 25,000 State employees in various locations </w:t>
      </w:r>
      <w:r w:rsidR="00674AA4">
        <w:t xml:space="preserve">in all eighty-two (82) counties </w:t>
      </w:r>
      <w:r w:rsidR="00674AA4" w:rsidRPr="00452204">
        <w:t xml:space="preserve">throughout Mississippi.  With the exception of the Department of Transportation, Department of Corrections, and the Department of Public Safety who have chosen to individually self-insure, the Trust is the workers’ compensation insurer for nearly every State agency in Mississippi.  </w:t>
      </w:r>
    </w:p>
    <w:p w14:paraId="6D1BE64D" w14:textId="77777777" w:rsidR="008F69C8" w:rsidRDefault="008F69C8" w:rsidP="00674AA4">
      <w:pPr>
        <w:jc w:val="both"/>
      </w:pPr>
    </w:p>
    <w:p w14:paraId="59E0BAE0" w14:textId="77777777" w:rsidR="008F69C8" w:rsidRDefault="008F69C8" w:rsidP="00674AA4">
      <w:pPr>
        <w:jc w:val="both"/>
      </w:pPr>
    </w:p>
    <w:p w14:paraId="1D6E0BC1" w14:textId="77777777" w:rsidR="008F69C8" w:rsidRDefault="008F69C8" w:rsidP="00674AA4">
      <w:pPr>
        <w:jc w:val="both"/>
      </w:pPr>
    </w:p>
    <w:p w14:paraId="352053C4" w14:textId="46836A0A" w:rsidR="008D29E6" w:rsidRDefault="00674AA4" w:rsidP="008038F6">
      <w:pPr>
        <w:jc w:val="both"/>
        <w:rPr>
          <w:b/>
        </w:rPr>
      </w:pPr>
      <w:r w:rsidRPr="00452204">
        <w:t xml:space="preserve">It is the Trust’s stated philosophy to provide such coverage at, or as close to as possible, a breakeven level and to avoid accumulating large, unnecessary surpluses.  With technical assistance from its consulting actuary, the Trust calculates each member’s premium, and manages all such premium billing and collection activities internally.  With </w:t>
      </w:r>
      <w:r w:rsidR="00C07350">
        <w:t>nearly</w:t>
      </w:r>
      <w:r w:rsidRPr="00452204">
        <w:t xml:space="preserve"> $</w:t>
      </w:r>
      <w:r>
        <w:t>3</w:t>
      </w:r>
      <w:r w:rsidR="00C07350">
        <w:t>9</w:t>
      </w:r>
      <w:r w:rsidRPr="00452204">
        <w:t xml:space="preserve"> </w:t>
      </w:r>
      <w:r>
        <w:t>m</w:t>
      </w:r>
      <w:r w:rsidRPr="00452204">
        <w:t>illion in assets, the Trust generates $1</w:t>
      </w:r>
      <w:r w:rsidR="00C07350">
        <w:t>5</w:t>
      </w:r>
      <w:r w:rsidRPr="00452204">
        <w:t xml:space="preserve"> </w:t>
      </w:r>
      <w:r>
        <w:t>m</w:t>
      </w:r>
      <w:r w:rsidRPr="00452204">
        <w:t>illion in revenue annually and disburses approximately $1</w:t>
      </w:r>
      <w:r w:rsidR="00C07350">
        <w:t>5</w:t>
      </w:r>
      <w:r>
        <w:t xml:space="preserve"> million</w:t>
      </w:r>
      <w:r w:rsidRPr="00452204">
        <w:t xml:space="preserve"> in claims and operating expenses each year.  In order to transfer a portion of its risk and as required by the Mississippi Workers’ Compensation Commission, the Trust purchases and maintains specific excess workers’ compensation insurance.  </w:t>
      </w:r>
      <w:r w:rsidR="008D29E6">
        <w:rPr>
          <w:b/>
        </w:rPr>
        <w:t xml:space="preserve">The following additional information regarding the Trust is provided in the appendices to this RFP: </w:t>
      </w:r>
    </w:p>
    <w:p w14:paraId="6A3285F1" w14:textId="4AEB78CC" w:rsidR="00BC2196" w:rsidRDefault="00BC2196" w:rsidP="00BC2196">
      <w:pPr>
        <w:pStyle w:val="Indent"/>
        <w:ind w:left="360"/>
      </w:pPr>
      <w:r>
        <w:t>Appendix B</w:t>
      </w:r>
      <w:r>
        <w:rPr>
          <w:i/>
        </w:rPr>
        <w:t xml:space="preserve"> - </w:t>
      </w:r>
      <w:r w:rsidR="008D29E6" w:rsidRPr="00884B9C">
        <w:rPr>
          <w:i/>
        </w:rPr>
        <w:t xml:space="preserve">Actuarial Analysis of the Mississippi State Agencies Self-Insured Workers’ </w:t>
      </w:r>
      <w:r w:rsidR="008D29E6" w:rsidRPr="00BF579B">
        <w:rPr>
          <w:i/>
        </w:rPr>
        <w:t xml:space="preserve">Compensation Trust as of </w:t>
      </w:r>
      <w:r w:rsidR="008D29E6" w:rsidRPr="005967D1">
        <w:rPr>
          <w:i/>
        </w:rPr>
        <w:t>June 30, 201</w:t>
      </w:r>
      <w:r w:rsidR="00A621F6" w:rsidRPr="005967D1">
        <w:rPr>
          <w:i/>
        </w:rPr>
        <w:t>8</w:t>
      </w:r>
    </w:p>
    <w:p w14:paraId="748FFEE2" w14:textId="4B14B7ED" w:rsidR="00BC2196" w:rsidRDefault="00BC2196" w:rsidP="004F5843">
      <w:pPr>
        <w:pStyle w:val="Indent"/>
        <w:ind w:left="360"/>
      </w:pPr>
      <w:r>
        <w:t xml:space="preserve">Appendix C </w:t>
      </w:r>
      <w:r w:rsidR="00CF4D53">
        <w:rPr>
          <w:i/>
        </w:rPr>
        <w:t>-</w:t>
      </w:r>
      <w:r w:rsidR="004F5843">
        <w:rPr>
          <w:i/>
        </w:rPr>
        <w:t xml:space="preserve"> </w:t>
      </w:r>
      <w:r w:rsidR="0026271C">
        <w:rPr>
          <w:i/>
        </w:rPr>
        <w:t xml:space="preserve">Mississippi </w:t>
      </w:r>
      <w:r w:rsidR="008D29E6" w:rsidRPr="005967D1">
        <w:rPr>
          <w:i/>
        </w:rPr>
        <w:t xml:space="preserve">State Agencies Self-Insured Workers’ Compensation Trust </w:t>
      </w:r>
      <w:r w:rsidR="0026271C">
        <w:rPr>
          <w:i/>
        </w:rPr>
        <w:t xml:space="preserve">- </w:t>
      </w:r>
      <w:r w:rsidR="008D29E6" w:rsidRPr="005967D1">
        <w:rPr>
          <w:i/>
        </w:rPr>
        <w:t>Financial Report</w:t>
      </w:r>
      <w:r w:rsidR="0026271C">
        <w:rPr>
          <w:i/>
        </w:rPr>
        <w:t xml:space="preserve"> as of June 30, 2018</w:t>
      </w:r>
    </w:p>
    <w:p w14:paraId="38D546A3" w14:textId="1F48F654" w:rsidR="008D29E6" w:rsidRPr="00E00784" w:rsidRDefault="00BC2196" w:rsidP="00BC2196">
      <w:pPr>
        <w:pStyle w:val="Indent"/>
        <w:ind w:left="360"/>
      </w:pPr>
      <w:r>
        <w:t xml:space="preserve">Appendix D </w:t>
      </w:r>
      <w:r w:rsidR="004F5843">
        <w:rPr>
          <w:i/>
        </w:rPr>
        <w:t xml:space="preserve">- </w:t>
      </w:r>
      <w:r w:rsidR="00E00784" w:rsidRPr="00E00784">
        <w:rPr>
          <w:i/>
        </w:rPr>
        <w:t>Mississippi State Agencies Self-Insured WC Trust - Loss Run Summary with Current Paid</w:t>
      </w:r>
      <w:r w:rsidR="00E00784">
        <w:rPr>
          <w:i/>
        </w:rPr>
        <w:t xml:space="preserve"> as of June 30, 2018</w:t>
      </w:r>
    </w:p>
    <w:p w14:paraId="6BE57CC5" w14:textId="70418F6F" w:rsidR="00057EA6" w:rsidRDefault="00057EA6" w:rsidP="00057EA6">
      <w:pPr>
        <w:jc w:val="both"/>
      </w:pPr>
      <w:r w:rsidRPr="00D62425">
        <w:t>The Trust currently utilizes the services of Cannon Cochran Management Services, Inc.</w:t>
      </w:r>
      <w:r>
        <w:t>,</w:t>
      </w:r>
      <w:r w:rsidRPr="00D62425">
        <w:t xml:space="preserve"> (CCMSI) as its third</w:t>
      </w:r>
      <w:r>
        <w:t>-</w:t>
      </w:r>
      <w:r w:rsidRPr="00D62425">
        <w:t>party claims administrator to manage all claims-related activities including, but not limited to, claims investigations, compensability determinations, claim and expense payments, litigation management, medical case management, subrogation, excess insurance reimbursement coordination, and internal and external reporting.</w:t>
      </w:r>
      <w:r>
        <w:t xml:space="preserve">  </w:t>
      </w:r>
      <w:r w:rsidR="00AE2CDA">
        <w:t>CCMSI</w:t>
      </w:r>
      <w:r w:rsidRPr="006D64F3">
        <w:t xml:space="preserve"> </w:t>
      </w:r>
      <w:r w:rsidR="00AE14FA">
        <w:t xml:space="preserve">also </w:t>
      </w:r>
      <w:r w:rsidRPr="006D64F3">
        <w:t>provide</w:t>
      </w:r>
      <w:r w:rsidR="00AE14FA">
        <w:t>s the Trust with</w:t>
      </w:r>
      <w:r w:rsidRPr="006D64F3">
        <w:t xml:space="preserve"> safety/risk control services to help minimize and control losses.  </w:t>
      </w:r>
    </w:p>
    <w:p w14:paraId="1234CFCE" w14:textId="77777777" w:rsidR="00057EA6" w:rsidRDefault="00057EA6" w:rsidP="008D29E6">
      <w:pPr>
        <w:jc w:val="both"/>
        <w:rPr>
          <w:b/>
        </w:rPr>
      </w:pPr>
    </w:p>
    <w:p w14:paraId="5DCF0886" w14:textId="279B7719" w:rsidR="008D29E6" w:rsidRDefault="008D29E6" w:rsidP="008D29E6">
      <w:pPr>
        <w:jc w:val="both"/>
        <w:rPr>
          <w:b/>
        </w:rPr>
      </w:pPr>
      <w:r w:rsidRPr="00864371">
        <w:rPr>
          <w:b/>
        </w:rPr>
        <w:t>State Agencies Employment Compensation Revolving Fund</w:t>
      </w:r>
    </w:p>
    <w:p w14:paraId="052D72BA" w14:textId="77777777" w:rsidR="008038F6" w:rsidRPr="00864371" w:rsidRDefault="008038F6" w:rsidP="008D29E6">
      <w:pPr>
        <w:jc w:val="both"/>
        <w:rPr>
          <w:b/>
        </w:rPr>
      </w:pPr>
    </w:p>
    <w:p w14:paraId="5370038A" w14:textId="07E8B326" w:rsidR="008D29E6" w:rsidRDefault="008D29E6" w:rsidP="008D29E6">
      <w:pPr>
        <w:jc w:val="both"/>
        <w:rPr>
          <w:b/>
        </w:rPr>
      </w:pPr>
      <w:r w:rsidRPr="008C7C11">
        <w:t>The State Agencies Employment Compensation Revolving Fund exists in order to provide a mechanism for State agencies to fund and budget for the costs of providing unemployment compensation benefits to their eligible former employees.  This fund does not pay benefits directly</w:t>
      </w:r>
      <w:r>
        <w:t>, but</w:t>
      </w:r>
      <w:r w:rsidRPr="008C7C11">
        <w:t xml:space="preserve"> rather, it reimburses the Mississippi Department of Employment Security (MDES) for benefits the MDES pays to former State employees.  The fund provides unemployment insurance coverage for all State agencies.  </w:t>
      </w:r>
      <w:r w:rsidR="008F1160">
        <w:t>DFA’s r</w:t>
      </w:r>
      <w:r w:rsidRPr="008C7C11">
        <w:t xml:space="preserve">esponsibilities include billing and collection of premiums, actuarial analysis of funding needs, management of excess funds, and reimbursement to the MDES for the </w:t>
      </w:r>
      <w:r w:rsidRPr="00DA4F7B">
        <w:t>$</w:t>
      </w:r>
      <w:r w:rsidR="00DA4F7B">
        <w:t>1.5M</w:t>
      </w:r>
      <w:r w:rsidRPr="00DA4F7B">
        <w:t xml:space="preserve"> to $</w:t>
      </w:r>
      <w:r w:rsidR="00DA4F7B">
        <w:t>2.0M</w:t>
      </w:r>
      <w:r w:rsidRPr="008C7C11">
        <w:t xml:space="preserve"> in State employee unemploy</w:t>
      </w:r>
      <w:r>
        <w:t>ment claims processed annually.</w:t>
      </w:r>
      <w:r w:rsidR="008038F6">
        <w:t xml:space="preserve"> </w:t>
      </w:r>
      <w:r>
        <w:rPr>
          <w:b/>
        </w:rPr>
        <w:t xml:space="preserve">The following additional information regarding the </w:t>
      </w:r>
      <w:r w:rsidRPr="00864371">
        <w:rPr>
          <w:b/>
        </w:rPr>
        <w:t xml:space="preserve">State Agencies Employment Compensation Revolving </w:t>
      </w:r>
      <w:r w:rsidR="00AC2808" w:rsidRPr="00864371">
        <w:rPr>
          <w:b/>
        </w:rPr>
        <w:t>Fund</w:t>
      </w:r>
      <w:r w:rsidR="00AC2808">
        <w:rPr>
          <w:b/>
        </w:rPr>
        <w:t xml:space="preserve"> is</w:t>
      </w:r>
      <w:r>
        <w:rPr>
          <w:b/>
        </w:rPr>
        <w:t xml:space="preserve"> provided in the appendices to this RFP: </w:t>
      </w:r>
    </w:p>
    <w:p w14:paraId="04071C3B" w14:textId="77777777" w:rsidR="002725B7" w:rsidRDefault="002725B7" w:rsidP="008D29E6">
      <w:pPr>
        <w:jc w:val="both"/>
        <w:rPr>
          <w:b/>
        </w:rPr>
      </w:pPr>
    </w:p>
    <w:p w14:paraId="298C2241" w14:textId="39FB5778" w:rsidR="00D900DD" w:rsidRDefault="00D900DD" w:rsidP="00D900DD">
      <w:pPr>
        <w:pStyle w:val="Indent"/>
        <w:spacing w:before="0" w:after="0"/>
      </w:pPr>
      <w:r>
        <w:t xml:space="preserve">Appendix E </w:t>
      </w:r>
      <w:r w:rsidR="009C7FB4">
        <w:rPr>
          <w:i/>
        </w:rPr>
        <w:t xml:space="preserve">- </w:t>
      </w:r>
      <w:r w:rsidR="008D29E6" w:rsidRPr="00A10B76">
        <w:rPr>
          <w:i/>
        </w:rPr>
        <w:t xml:space="preserve">Actuarial Analysis of the Mississippi State Agencies Employment Compensation Revolving Fund as </w:t>
      </w:r>
      <w:r w:rsidR="008D29E6" w:rsidRPr="00F21EA2">
        <w:rPr>
          <w:i/>
        </w:rPr>
        <w:t xml:space="preserve">of </w:t>
      </w:r>
      <w:r w:rsidR="00F21EA2">
        <w:rPr>
          <w:i/>
        </w:rPr>
        <w:t>June 30, 2018</w:t>
      </w:r>
      <w:r w:rsidR="008D29E6" w:rsidRPr="00864371">
        <w:t>.</w:t>
      </w:r>
    </w:p>
    <w:p w14:paraId="3D3CF391" w14:textId="77777777" w:rsidR="00D900DD" w:rsidRDefault="00D900DD" w:rsidP="00D900DD">
      <w:pPr>
        <w:pStyle w:val="Indent"/>
        <w:spacing w:before="0" w:after="0"/>
      </w:pPr>
    </w:p>
    <w:p w14:paraId="62AA8718" w14:textId="0924D11E" w:rsidR="008D29E6" w:rsidRDefault="00D900DD" w:rsidP="00D900DD">
      <w:pPr>
        <w:pStyle w:val="Indent"/>
        <w:spacing w:before="0" w:after="0"/>
      </w:pPr>
      <w:r>
        <w:t xml:space="preserve">Appendix F </w:t>
      </w:r>
      <w:r w:rsidR="009C7FB4">
        <w:rPr>
          <w:i/>
        </w:rPr>
        <w:t xml:space="preserve">- </w:t>
      </w:r>
      <w:r w:rsidR="00DA4F7B" w:rsidRPr="00E00784">
        <w:rPr>
          <w:i/>
        </w:rPr>
        <w:t>FY 2018</w:t>
      </w:r>
      <w:r w:rsidR="008D29E6" w:rsidRPr="00E00784">
        <w:rPr>
          <w:i/>
        </w:rPr>
        <w:t xml:space="preserve"> Mississippi State Agencies Employment Compensation Re</w:t>
      </w:r>
      <w:r w:rsidRPr="00E00784">
        <w:rPr>
          <w:i/>
        </w:rPr>
        <w:t>volving Fund Financial Report.</w:t>
      </w:r>
    </w:p>
    <w:p w14:paraId="78FD01C7" w14:textId="77777777" w:rsidR="00D900DD" w:rsidRPr="00864371" w:rsidRDefault="00D900DD" w:rsidP="00D900DD">
      <w:pPr>
        <w:pStyle w:val="Indent"/>
        <w:spacing w:before="0" w:after="0"/>
      </w:pPr>
    </w:p>
    <w:p w14:paraId="3A9F3412" w14:textId="2C3F4649" w:rsidR="00674AA4" w:rsidRDefault="00AE2CDA" w:rsidP="00674AA4">
      <w:pPr>
        <w:jc w:val="both"/>
      </w:pPr>
      <w:r>
        <w:t>DFA’s contract</w:t>
      </w:r>
      <w:r w:rsidR="002725B7">
        <w:t xml:space="preserve"> with Madison Consulting Group to provide </w:t>
      </w:r>
      <w:r w:rsidR="000E3BA4">
        <w:t xml:space="preserve">the </w:t>
      </w:r>
      <w:r w:rsidR="002725B7">
        <w:t>c</w:t>
      </w:r>
      <w:r w:rsidR="00702A70">
        <w:t>onsult</w:t>
      </w:r>
      <w:r w:rsidR="006C23E5">
        <w:t>ing</w:t>
      </w:r>
      <w:r w:rsidR="00702A70">
        <w:t xml:space="preserve"> </w:t>
      </w:r>
      <w:r w:rsidR="002725B7">
        <w:t>a</w:t>
      </w:r>
      <w:r w:rsidR="00702A70">
        <w:t xml:space="preserve">ctuary </w:t>
      </w:r>
      <w:r w:rsidR="005F4BF1">
        <w:t xml:space="preserve">services </w:t>
      </w:r>
      <w:r w:rsidR="000E3BA4">
        <w:t xml:space="preserve">requested herein </w:t>
      </w:r>
      <w:r>
        <w:t>has recently expired</w:t>
      </w:r>
      <w:r w:rsidR="005F4BF1">
        <w:t xml:space="preserve">, necessitating the need for this RFP. </w:t>
      </w:r>
      <w:r w:rsidR="00322E8C">
        <w:t xml:space="preserve"> </w:t>
      </w:r>
      <w:r>
        <w:t>DFA</w:t>
      </w:r>
      <w:r w:rsidR="00674AA4" w:rsidRPr="00944A7F">
        <w:t xml:space="preserve"> also contracts with</w:t>
      </w:r>
      <w:r>
        <w:t xml:space="preserve"> the following vendors </w:t>
      </w:r>
      <w:r w:rsidR="008F69C8">
        <w:t xml:space="preserve">for services </w:t>
      </w:r>
      <w:r>
        <w:t>on behalf of the Board</w:t>
      </w:r>
      <w:r w:rsidR="00674AA4" w:rsidRPr="00944A7F">
        <w:t>:</w:t>
      </w:r>
    </w:p>
    <w:p w14:paraId="3C9E0113" w14:textId="77777777" w:rsidR="002725B7" w:rsidRPr="00944A7F" w:rsidRDefault="002725B7" w:rsidP="00674AA4">
      <w:pPr>
        <w:jc w:val="both"/>
      </w:pPr>
    </w:p>
    <w:p w14:paraId="4C9FB212" w14:textId="2F73FC26" w:rsidR="00E474BE" w:rsidRDefault="00E474BE" w:rsidP="00E474BE">
      <w:pPr>
        <w:pStyle w:val="Indent"/>
        <w:tabs>
          <w:tab w:val="left" w:pos="5760"/>
        </w:tabs>
        <w:spacing w:before="0" w:after="0" w:line="360" w:lineRule="auto"/>
      </w:pPr>
      <w:r>
        <w:t>Harper, Rains, Knight, &amp; Company, P.A.</w:t>
      </w:r>
      <w:r w:rsidR="000E3BA4">
        <w:t xml:space="preserve"> </w:t>
      </w:r>
      <w:r w:rsidR="000E3BA4">
        <w:tab/>
      </w:r>
      <w:r>
        <w:t>Financial Auditing Services</w:t>
      </w:r>
    </w:p>
    <w:p w14:paraId="257F4B36" w14:textId="13F23C8C" w:rsidR="00E474BE" w:rsidRDefault="00E474BE" w:rsidP="00CF4D53">
      <w:pPr>
        <w:pStyle w:val="Indent"/>
        <w:widowControl/>
        <w:tabs>
          <w:tab w:val="left" w:pos="5760"/>
          <w:tab w:val="left" w:pos="6480"/>
        </w:tabs>
        <w:spacing w:before="0" w:after="0" w:line="360" w:lineRule="auto"/>
      </w:pPr>
      <w:proofErr w:type="spellStart"/>
      <w:r>
        <w:t>AmFed</w:t>
      </w:r>
      <w:proofErr w:type="spellEnd"/>
      <w:r>
        <w:t xml:space="preserve"> Insurance Services LLC</w:t>
      </w:r>
      <w:r w:rsidR="000E3BA4">
        <w:t xml:space="preserve"> </w:t>
      </w:r>
      <w:r w:rsidR="000E3BA4">
        <w:tab/>
      </w:r>
      <w:r w:rsidR="00AE2CDA">
        <w:t xml:space="preserve">Excess Insurance </w:t>
      </w:r>
      <w:r>
        <w:t>Brokerage Services</w:t>
      </w:r>
    </w:p>
    <w:p w14:paraId="32DF9AA3" w14:textId="359A64BC" w:rsidR="00BE764A" w:rsidRPr="00794EFF" w:rsidRDefault="00F01679" w:rsidP="002862EE">
      <w:pPr>
        <w:pStyle w:val="Heading2"/>
        <w:numPr>
          <w:ilvl w:val="1"/>
          <w:numId w:val="1"/>
        </w:numPr>
        <w:spacing w:line="360" w:lineRule="auto"/>
        <w:ind w:left="418" w:hanging="418"/>
        <w:jc w:val="both"/>
        <w:rPr>
          <w:sz w:val="24"/>
        </w:rPr>
      </w:pPr>
      <w:bookmarkStart w:id="3" w:name="_Toc3360003"/>
      <w:r w:rsidRPr="00D1375F">
        <w:rPr>
          <w:sz w:val="24"/>
        </w:rPr>
        <w:t>Purpose and Goals</w:t>
      </w:r>
      <w:bookmarkEnd w:id="3"/>
    </w:p>
    <w:p w14:paraId="421EDFE9" w14:textId="7120BDE5" w:rsidR="00CA137E" w:rsidRDefault="00C4494F" w:rsidP="00CA137E">
      <w:pPr>
        <w:pStyle w:val="NoSpacing"/>
        <w:ind w:left="0"/>
      </w:pPr>
      <w:r w:rsidRPr="004107C2">
        <w:t>The purpose of this solicitation is to</w:t>
      </w:r>
      <w:r>
        <w:t xml:space="preserve"> select and contract with</w:t>
      </w:r>
      <w:r w:rsidRPr="00E8218B">
        <w:t xml:space="preserve"> </w:t>
      </w:r>
      <w:r>
        <w:t xml:space="preserve">a vendor to provide </w:t>
      </w:r>
      <w:r w:rsidR="00920DD3">
        <w:t>a</w:t>
      </w:r>
      <w:r w:rsidR="00CA137E">
        <w:t xml:space="preserve">ctuarial </w:t>
      </w:r>
      <w:r w:rsidR="00920DD3">
        <w:t>c</w:t>
      </w:r>
      <w:r w:rsidR="00CA137E">
        <w:t xml:space="preserve">onsulting </w:t>
      </w:r>
      <w:r>
        <w:t xml:space="preserve">services to assist the </w:t>
      </w:r>
      <w:r w:rsidR="00CA137E">
        <w:t>Board</w:t>
      </w:r>
      <w:r w:rsidR="00674AA4">
        <w:t xml:space="preserve"> </w:t>
      </w:r>
      <w:r>
        <w:t xml:space="preserve">in its management of the </w:t>
      </w:r>
      <w:r w:rsidR="00674AA4">
        <w:t>Mississippi State Agencies Self-Insured Workers’ Compensation Trust</w:t>
      </w:r>
      <w:r w:rsidR="00D70246">
        <w:t xml:space="preserve"> and to assist DFA in managing the State Agencies Employment Compensation Revolving Fund</w:t>
      </w:r>
      <w:r w:rsidR="001A5E18">
        <w:t>.</w:t>
      </w:r>
      <w:r>
        <w:t xml:space="preserve">  </w:t>
      </w:r>
      <w:r w:rsidR="00332A0A">
        <w:t xml:space="preserve">The selected </w:t>
      </w:r>
      <w:r w:rsidR="00CA137E">
        <w:rPr>
          <w:bCs/>
        </w:rPr>
        <w:t>vendor</w:t>
      </w:r>
      <w:r w:rsidR="00AD4DBB">
        <w:t xml:space="preserve"> </w:t>
      </w:r>
      <w:r w:rsidR="00332A0A">
        <w:t xml:space="preserve">will assist the Board </w:t>
      </w:r>
      <w:r w:rsidR="00D70246">
        <w:t xml:space="preserve">and DFA </w:t>
      </w:r>
      <w:r w:rsidR="00332A0A">
        <w:t xml:space="preserve">by providing such services as </w:t>
      </w:r>
      <w:r w:rsidR="00D70246">
        <w:t xml:space="preserve">may be </w:t>
      </w:r>
      <w:r w:rsidR="00332A0A">
        <w:t xml:space="preserve">requested </w:t>
      </w:r>
      <w:r w:rsidR="00D70246">
        <w:t>f</w:t>
      </w:r>
      <w:r w:rsidR="00332A0A">
        <w:t>or which the</w:t>
      </w:r>
      <w:r w:rsidR="00AD4DBB">
        <w:t xml:space="preserve"> </w:t>
      </w:r>
      <w:r w:rsidR="006C23E5">
        <w:rPr>
          <w:bCs/>
        </w:rPr>
        <w:t>C</w:t>
      </w:r>
      <w:r w:rsidR="00AD4DBB" w:rsidRPr="00AD4DBB">
        <w:rPr>
          <w:bCs/>
        </w:rPr>
        <w:t xml:space="preserve">onsulting </w:t>
      </w:r>
      <w:r w:rsidR="006C23E5">
        <w:t>A</w:t>
      </w:r>
      <w:r w:rsidR="00AD4DBB" w:rsidRPr="00AD4DBB">
        <w:t>ctuary</w:t>
      </w:r>
      <w:r w:rsidR="00AD4DBB">
        <w:t xml:space="preserve"> </w:t>
      </w:r>
      <w:r w:rsidR="00332A0A">
        <w:t xml:space="preserve">has the technical capability to render.  </w:t>
      </w:r>
      <w:r w:rsidR="00CA137E">
        <w:t xml:space="preserve">A more detailed listing of services is contained under the </w:t>
      </w:r>
      <w:r w:rsidR="00CA137E" w:rsidRPr="005169E1">
        <w:rPr>
          <w:b/>
        </w:rPr>
        <w:t>Scope of Services</w:t>
      </w:r>
      <w:r w:rsidR="00CA137E">
        <w:t xml:space="preserve"> located in </w:t>
      </w:r>
      <w:r w:rsidR="00CA137E" w:rsidRPr="005169E1">
        <w:rPr>
          <w:b/>
        </w:rPr>
        <w:t>Section 3</w:t>
      </w:r>
      <w:r w:rsidR="00CA137E" w:rsidRPr="00670FA5">
        <w:t>.</w:t>
      </w:r>
    </w:p>
    <w:p w14:paraId="414EB2CD" w14:textId="77777777" w:rsidR="00A90311" w:rsidRDefault="00CA137E" w:rsidP="00A90311">
      <w:pPr>
        <w:pStyle w:val="Heading2"/>
        <w:numPr>
          <w:ilvl w:val="1"/>
          <w:numId w:val="1"/>
        </w:numPr>
        <w:spacing w:line="360" w:lineRule="auto"/>
        <w:ind w:left="418" w:hanging="418"/>
        <w:jc w:val="both"/>
        <w:rPr>
          <w:sz w:val="24"/>
        </w:rPr>
      </w:pPr>
      <w:bookmarkStart w:id="4" w:name="_Toc511324433"/>
      <w:bookmarkStart w:id="5" w:name="_Toc3360004"/>
      <w:r w:rsidRPr="00D1375F">
        <w:rPr>
          <w:sz w:val="24"/>
        </w:rPr>
        <w:t>Instructions to Proposers</w:t>
      </w:r>
      <w:bookmarkEnd w:id="4"/>
      <w:bookmarkEnd w:id="5"/>
    </w:p>
    <w:p w14:paraId="2F94CB41" w14:textId="032E3400" w:rsidR="001F5846" w:rsidRPr="00A90311" w:rsidRDefault="00007A03" w:rsidP="00A90311">
      <w:pPr>
        <w:pStyle w:val="NoSpacing"/>
        <w:ind w:left="0"/>
      </w:pPr>
      <w:r w:rsidRPr="00A90311">
        <w:rPr>
          <w:b/>
          <w:u w:val="single"/>
        </w:rPr>
        <w:t xml:space="preserve">Proposals must be received in the DFA’s Office of Insurance in Jackson, Mississippi by 2:00 p.m. Central Daylight Time, </w:t>
      </w:r>
      <w:r w:rsidR="00CF77FF" w:rsidRPr="00A90311">
        <w:rPr>
          <w:b/>
          <w:u w:val="single"/>
        </w:rPr>
        <w:t>Friday</w:t>
      </w:r>
      <w:r w:rsidR="00403784" w:rsidRPr="00A90311">
        <w:rPr>
          <w:b/>
          <w:u w:val="single"/>
        </w:rPr>
        <w:t>, April 1</w:t>
      </w:r>
      <w:r w:rsidR="00CF77FF" w:rsidRPr="00A90311">
        <w:rPr>
          <w:b/>
          <w:u w:val="single"/>
        </w:rPr>
        <w:t>2</w:t>
      </w:r>
      <w:r w:rsidR="00317CF7" w:rsidRPr="00A90311">
        <w:rPr>
          <w:b/>
          <w:u w:val="single"/>
        </w:rPr>
        <w:t>, 2019</w:t>
      </w:r>
      <w:r w:rsidRPr="00A90311">
        <w:t xml:space="preserve">. Any proposal received after the deadline will not be considered. Proposals submitted by fax or by electronic mail will not be </w:t>
      </w:r>
      <w:r w:rsidR="00C74F93" w:rsidRPr="00A90311">
        <w:t>considered</w:t>
      </w:r>
      <w:r w:rsidRPr="00A90311">
        <w:t xml:space="preserve">. </w:t>
      </w:r>
      <w:r w:rsidR="001F5846" w:rsidRPr="00A90311">
        <w:t xml:space="preserve"> To prevent opening by unauthorized individuals, all copies of the proposal, including any and all attachments, must be sealed in one or more packages, and the package(s) must be marked, “Proposals – Do Not Open.” </w:t>
      </w:r>
    </w:p>
    <w:p w14:paraId="6293F00C" w14:textId="77777777" w:rsidR="00007A03" w:rsidRPr="004107C2" w:rsidRDefault="00007A03" w:rsidP="00E32100">
      <w:pPr>
        <w:pStyle w:val="NumList1"/>
        <w:ind w:hanging="540"/>
      </w:pPr>
      <w:r w:rsidRPr="004107C2">
        <w:t xml:space="preserve">Proposals must be submitted </w:t>
      </w:r>
      <w:r w:rsidRPr="008854AC">
        <w:rPr>
          <w:u w:val="single"/>
        </w:rPr>
        <w:t>in writing</w:t>
      </w:r>
      <w:r w:rsidRPr="004107C2">
        <w:t xml:space="preserve"> to the following address:</w:t>
      </w:r>
    </w:p>
    <w:p w14:paraId="606CF7EA" w14:textId="481E5009" w:rsidR="00007A03" w:rsidRPr="004107C2" w:rsidRDefault="00674AA4" w:rsidP="001F5846">
      <w:pPr>
        <w:pStyle w:val="Indent"/>
        <w:spacing w:before="240" w:after="0"/>
        <w:ind w:left="1440" w:firstLine="173"/>
        <w:rPr>
          <w:b/>
        </w:rPr>
      </w:pPr>
      <w:r>
        <w:rPr>
          <w:b/>
        </w:rPr>
        <w:t xml:space="preserve">Workers’ </w:t>
      </w:r>
      <w:r w:rsidRPr="00CA137E">
        <w:rPr>
          <w:b/>
        </w:rPr>
        <w:t xml:space="preserve">Compensation </w:t>
      </w:r>
      <w:r w:rsidR="00CA137E" w:rsidRPr="00CA137E">
        <w:rPr>
          <w:b/>
        </w:rPr>
        <w:t>Actuarial Consulting</w:t>
      </w:r>
      <w:r w:rsidR="00CA137E">
        <w:t xml:space="preserve"> </w:t>
      </w:r>
      <w:r w:rsidR="00007A03" w:rsidRPr="000054B0">
        <w:rPr>
          <w:b/>
        </w:rPr>
        <w:t>Services</w:t>
      </w:r>
      <w:r w:rsidR="00007A03" w:rsidRPr="004107C2">
        <w:rPr>
          <w:b/>
        </w:rPr>
        <w:t xml:space="preserve"> RFP</w:t>
      </w:r>
    </w:p>
    <w:p w14:paraId="4F6FBA00" w14:textId="77777777" w:rsidR="00007A03" w:rsidRPr="004107C2" w:rsidRDefault="00007A03" w:rsidP="001F5846">
      <w:pPr>
        <w:pStyle w:val="Indent"/>
        <w:spacing w:before="0" w:after="0"/>
        <w:ind w:left="1267" w:firstLine="346"/>
        <w:rPr>
          <w:b/>
        </w:rPr>
      </w:pPr>
      <w:proofErr w:type="gramStart"/>
      <w:r w:rsidRPr="004107C2">
        <w:rPr>
          <w:b/>
        </w:rPr>
        <w:t>c/o</w:t>
      </w:r>
      <w:proofErr w:type="gramEnd"/>
      <w:r w:rsidRPr="004107C2">
        <w:rPr>
          <w:b/>
        </w:rPr>
        <w:t xml:space="preserve"> DFA - Office of Insurance</w:t>
      </w:r>
    </w:p>
    <w:p w14:paraId="0C3F84B8" w14:textId="77777777" w:rsidR="00007A03" w:rsidRPr="004107C2" w:rsidRDefault="00007A03" w:rsidP="001F5846">
      <w:pPr>
        <w:pStyle w:val="Indent"/>
        <w:spacing w:before="0" w:after="0"/>
        <w:ind w:left="893" w:firstLine="720"/>
        <w:rPr>
          <w:b/>
        </w:rPr>
      </w:pPr>
      <w:r w:rsidRPr="004107C2">
        <w:rPr>
          <w:b/>
        </w:rPr>
        <w:t>501 North West Street</w:t>
      </w:r>
    </w:p>
    <w:p w14:paraId="7BD33DD6" w14:textId="77777777" w:rsidR="00007A03" w:rsidRPr="004107C2" w:rsidRDefault="00007A03" w:rsidP="001F5846">
      <w:pPr>
        <w:pStyle w:val="Indent"/>
        <w:spacing w:before="0" w:after="0"/>
        <w:ind w:left="893" w:firstLine="720"/>
        <w:rPr>
          <w:b/>
        </w:rPr>
      </w:pPr>
      <w:r w:rsidRPr="004107C2">
        <w:rPr>
          <w:b/>
        </w:rPr>
        <w:t>Suite 901-B Woolfolk Building</w:t>
      </w:r>
    </w:p>
    <w:p w14:paraId="71F84761" w14:textId="77777777" w:rsidR="00007A03" w:rsidRPr="004107C2" w:rsidRDefault="00007A03" w:rsidP="001F5846">
      <w:pPr>
        <w:pStyle w:val="Indent"/>
        <w:spacing w:before="0" w:after="0"/>
        <w:ind w:left="893" w:firstLine="720"/>
        <w:rPr>
          <w:b/>
        </w:rPr>
      </w:pPr>
      <w:r w:rsidRPr="004107C2">
        <w:rPr>
          <w:b/>
        </w:rPr>
        <w:t>Jackson, Mississippi 39201</w:t>
      </w:r>
    </w:p>
    <w:p w14:paraId="52479542" w14:textId="59D359F7" w:rsidR="00505281" w:rsidRDefault="00505281" w:rsidP="002862EE">
      <w:pPr>
        <w:pStyle w:val="NumList1"/>
        <w:numPr>
          <w:ilvl w:val="0"/>
          <w:numId w:val="2"/>
        </w:numPr>
        <w:ind w:hanging="450"/>
      </w:pPr>
      <w:r w:rsidRPr="004107C2">
        <w:t>Submit one</w:t>
      </w:r>
      <w:r>
        <w:t xml:space="preserve"> (1)</w:t>
      </w:r>
      <w:r w:rsidRPr="004107C2">
        <w:t xml:space="preserve"> clearly </w:t>
      </w:r>
      <w:r w:rsidRPr="009A515A">
        <w:t xml:space="preserve">marked </w:t>
      </w:r>
      <w:r w:rsidRPr="00305713">
        <w:rPr>
          <w:u w:val="single"/>
        </w:rPr>
        <w:t>printed</w:t>
      </w:r>
      <w:r>
        <w:t xml:space="preserve"> </w:t>
      </w:r>
      <w:r w:rsidRPr="004107C2">
        <w:t xml:space="preserve">original </w:t>
      </w:r>
      <w:r>
        <w:t xml:space="preserve">proposal, including </w:t>
      </w:r>
      <w:r w:rsidR="002725B7">
        <w:t xml:space="preserve">any and </w:t>
      </w:r>
      <w:r>
        <w:t xml:space="preserve">all attachments. The proposal should include and be tabbed as follows: </w:t>
      </w:r>
    </w:p>
    <w:p w14:paraId="1F35E76F" w14:textId="57E37ECF" w:rsidR="00505281" w:rsidRPr="004107C2" w:rsidRDefault="00505281" w:rsidP="00505281">
      <w:pPr>
        <w:pStyle w:val="ListNumber5"/>
        <w:ind w:left="1530" w:hanging="450"/>
      </w:pPr>
      <w:r w:rsidRPr="004107C2">
        <w:t xml:space="preserve">Tab 1 </w:t>
      </w:r>
      <w:r w:rsidR="000A27B8">
        <w:t>–</w:t>
      </w:r>
      <w:r w:rsidRPr="004107C2">
        <w:t xml:space="preserve"> </w:t>
      </w:r>
      <w:r w:rsidR="000A27B8">
        <w:t xml:space="preserve">  </w:t>
      </w:r>
      <w:r w:rsidRPr="004107C2">
        <w:t>Introduction</w:t>
      </w:r>
      <w:r>
        <w:t xml:space="preserve">/Signed Proposal Cover Letter </w:t>
      </w:r>
    </w:p>
    <w:p w14:paraId="71FC5AB9" w14:textId="03682F15" w:rsidR="00505281" w:rsidRDefault="00505281" w:rsidP="00505281">
      <w:pPr>
        <w:pStyle w:val="ListNumber5"/>
        <w:ind w:left="1530" w:hanging="450"/>
      </w:pPr>
      <w:r w:rsidRPr="004107C2">
        <w:t xml:space="preserve">Tab 2 </w:t>
      </w:r>
      <w:r w:rsidR="000A27B8">
        <w:t>–</w:t>
      </w:r>
      <w:r w:rsidRPr="004107C2">
        <w:t xml:space="preserve"> </w:t>
      </w:r>
      <w:r w:rsidR="000A27B8">
        <w:t xml:space="preserve">  </w:t>
      </w:r>
      <w:r w:rsidRPr="004169CE">
        <w:rPr>
          <w:b/>
        </w:rPr>
        <w:t>Section 2</w:t>
      </w:r>
      <w:r>
        <w:t xml:space="preserve"> - </w:t>
      </w:r>
      <w:r w:rsidRPr="004107C2">
        <w:t>Minimum Vendor Requirements Confirmation</w:t>
      </w:r>
      <w:r>
        <w:t xml:space="preserve"> </w:t>
      </w:r>
    </w:p>
    <w:p w14:paraId="79315D65" w14:textId="67F050BB" w:rsidR="00505281" w:rsidRPr="004107C2" w:rsidRDefault="00505281" w:rsidP="00505281">
      <w:pPr>
        <w:pStyle w:val="ListNumber5"/>
        <w:ind w:left="1530" w:hanging="450"/>
      </w:pPr>
      <w:r w:rsidRPr="004107C2">
        <w:t xml:space="preserve">Tab 3 </w:t>
      </w:r>
      <w:r w:rsidR="000A27B8">
        <w:t>–</w:t>
      </w:r>
      <w:r w:rsidR="00085CE7">
        <w:t xml:space="preserve"> </w:t>
      </w:r>
      <w:r w:rsidR="000A27B8">
        <w:t xml:space="preserve">  </w:t>
      </w:r>
      <w:r w:rsidRPr="004169CE">
        <w:rPr>
          <w:b/>
        </w:rPr>
        <w:t>Section 3</w:t>
      </w:r>
      <w:r>
        <w:t xml:space="preserve"> - </w:t>
      </w:r>
      <w:r w:rsidRPr="004107C2">
        <w:t xml:space="preserve">Scope of Services Confirmation </w:t>
      </w:r>
      <w:r>
        <w:t xml:space="preserve"> </w:t>
      </w:r>
    </w:p>
    <w:p w14:paraId="75D8E4FF" w14:textId="3BC19284" w:rsidR="00505281" w:rsidRPr="004107C2" w:rsidRDefault="00505281" w:rsidP="00505281">
      <w:pPr>
        <w:pStyle w:val="ListNumber5"/>
        <w:ind w:left="1080"/>
      </w:pPr>
      <w:r w:rsidRPr="004107C2">
        <w:t>Tab</w:t>
      </w:r>
      <w:r>
        <w:t xml:space="preserve"> 4</w:t>
      </w:r>
      <w:r w:rsidRPr="004107C2">
        <w:t xml:space="preserve"> </w:t>
      </w:r>
      <w:r w:rsidR="000A27B8">
        <w:t>–</w:t>
      </w:r>
      <w:r w:rsidRPr="004107C2">
        <w:t xml:space="preserve"> </w:t>
      </w:r>
      <w:r w:rsidR="000A27B8">
        <w:t xml:space="preserve">  </w:t>
      </w:r>
      <w:r w:rsidRPr="004169CE">
        <w:rPr>
          <w:b/>
        </w:rPr>
        <w:t>Section 4</w:t>
      </w:r>
      <w:r>
        <w:t xml:space="preserve"> -  Narrative </w:t>
      </w:r>
      <w:r w:rsidRPr="004107C2">
        <w:t xml:space="preserve">Questionnaire with Responses </w:t>
      </w:r>
    </w:p>
    <w:p w14:paraId="1CD60DD7" w14:textId="6510EE55" w:rsidR="00505281" w:rsidRPr="004107C2" w:rsidRDefault="00505281" w:rsidP="00505281">
      <w:pPr>
        <w:pStyle w:val="ListNumber5"/>
        <w:ind w:left="1080"/>
      </w:pPr>
      <w:r w:rsidRPr="004107C2">
        <w:t xml:space="preserve">Tab </w:t>
      </w:r>
      <w:r>
        <w:t>5</w:t>
      </w:r>
      <w:r w:rsidRPr="004107C2">
        <w:t xml:space="preserve"> </w:t>
      </w:r>
      <w:r w:rsidR="000A27B8">
        <w:t>–</w:t>
      </w:r>
      <w:r w:rsidRPr="004107C2">
        <w:t xml:space="preserve"> </w:t>
      </w:r>
      <w:r w:rsidR="000A27B8">
        <w:t xml:space="preserve">  </w:t>
      </w:r>
      <w:r w:rsidRPr="004169CE">
        <w:rPr>
          <w:b/>
        </w:rPr>
        <w:t>Section 5</w:t>
      </w:r>
      <w:r>
        <w:t xml:space="preserve"> - References</w:t>
      </w:r>
      <w:r w:rsidRPr="004107C2">
        <w:t xml:space="preserve"> </w:t>
      </w:r>
    </w:p>
    <w:p w14:paraId="5ADDA6AE" w14:textId="48371F0C" w:rsidR="00505281" w:rsidRDefault="00505281" w:rsidP="00505281">
      <w:pPr>
        <w:pStyle w:val="ListNumber5"/>
        <w:ind w:left="1530" w:hanging="450"/>
      </w:pPr>
      <w:r w:rsidRPr="004107C2">
        <w:t>Tab</w:t>
      </w:r>
      <w:r>
        <w:t xml:space="preserve"> 6</w:t>
      </w:r>
      <w:r w:rsidRPr="004107C2">
        <w:t xml:space="preserve"> </w:t>
      </w:r>
      <w:r w:rsidR="000A27B8">
        <w:t>–</w:t>
      </w:r>
      <w:r>
        <w:t xml:space="preserve"> </w:t>
      </w:r>
      <w:r w:rsidR="000A27B8">
        <w:t xml:space="preserve">  </w:t>
      </w:r>
      <w:r w:rsidRPr="004169CE">
        <w:rPr>
          <w:b/>
        </w:rPr>
        <w:t>Section 6</w:t>
      </w:r>
      <w:r>
        <w:t xml:space="preserve"> - Service Plan </w:t>
      </w:r>
    </w:p>
    <w:p w14:paraId="0450362F" w14:textId="7E097214" w:rsidR="00505281" w:rsidRDefault="00505281" w:rsidP="00505281">
      <w:pPr>
        <w:pStyle w:val="ListNumber5"/>
        <w:ind w:left="1530" w:hanging="450"/>
      </w:pPr>
      <w:r>
        <w:t xml:space="preserve">Tab 7 </w:t>
      </w:r>
      <w:r w:rsidR="000A27B8">
        <w:t>–</w:t>
      </w:r>
      <w:r>
        <w:t xml:space="preserve"> </w:t>
      </w:r>
      <w:r w:rsidR="000A27B8">
        <w:t xml:space="preserve">  </w:t>
      </w:r>
      <w:r w:rsidRPr="004169CE">
        <w:rPr>
          <w:b/>
        </w:rPr>
        <w:t>Section 7</w:t>
      </w:r>
      <w:r>
        <w:t xml:space="preserve"> - Fee Schedule </w:t>
      </w:r>
    </w:p>
    <w:p w14:paraId="143B5BCE" w14:textId="2CC680FD" w:rsidR="00505281" w:rsidRPr="004107C2" w:rsidRDefault="00505281" w:rsidP="00085CE7">
      <w:pPr>
        <w:pStyle w:val="ListNumber5"/>
        <w:ind w:left="1530" w:hanging="450"/>
      </w:pPr>
      <w:r>
        <w:t xml:space="preserve">Tab 8 </w:t>
      </w:r>
      <w:r w:rsidR="000A27B8">
        <w:t xml:space="preserve">–  </w:t>
      </w:r>
      <w:r>
        <w:t xml:space="preserve"> </w:t>
      </w:r>
      <w:r w:rsidR="00085CE7" w:rsidRPr="004169CE">
        <w:rPr>
          <w:b/>
        </w:rPr>
        <w:t xml:space="preserve">Section </w:t>
      </w:r>
      <w:r w:rsidR="00057EA6">
        <w:rPr>
          <w:b/>
        </w:rPr>
        <w:t>8</w:t>
      </w:r>
      <w:r w:rsidR="00085CE7">
        <w:t xml:space="preserve"> - Signed </w:t>
      </w:r>
      <w:r w:rsidR="00085CE7" w:rsidRPr="004107C2">
        <w:t>Statement of Compliance</w:t>
      </w:r>
    </w:p>
    <w:p w14:paraId="443DA030" w14:textId="63DD6495" w:rsidR="00505281" w:rsidRPr="004107C2" w:rsidRDefault="00505281" w:rsidP="00505281">
      <w:pPr>
        <w:pStyle w:val="ListNumber5"/>
        <w:ind w:left="1530" w:hanging="450"/>
      </w:pPr>
      <w:r>
        <w:t>Tab 9</w:t>
      </w:r>
      <w:r w:rsidRPr="004107C2">
        <w:t xml:space="preserve"> </w:t>
      </w:r>
      <w:r w:rsidR="000A27B8">
        <w:t>–</w:t>
      </w:r>
      <w:r w:rsidRPr="004107C2">
        <w:t xml:space="preserve"> </w:t>
      </w:r>
      <w:r w:rsidR="000A27B8">
        <w:t xml:space="preserve">  </w:t>
      </w:r>
      <w:r w:rsidR="00085CE7">
        <w:t xml:space="preserve">Signed </w:t>
      </w:r>
      <w:r w:rsidR="00085CE7" w:rsidRPr="004107C2">
        <w:t>Acknowledgement of RFP Amendments</w:t>
      </w:r>
      <w:r w:rsidR="00085CE7">
        <w:t xml:space="preserve"> (if any)</w:t>
      </w:r>
    </w:p>
    <w:p w14:paraId="0B372DAE" w14:textId="29D82678" w:rsidR="00505281" w:rsidRPr="004107C2" w:rsidRDefault="00505281" w:rsidP="00505281">
      <w:pPr>
        <w:pStyle w:val="ListNumber5"/>
        <w:ind w:left="1080"/>
      </w:pPr>
      <w:r w:rsidRPr="004107C2">
        <w:t>Tab</w:t>
      </w:r>
      <w:r>
        <w:t xml:space="preserve"> 10</w:t>
      </w:r>
      <w:r w:rsidRPr="004107C2">
        <w:t xml:space="preserve"> </w:t>
      </w:r>
      <w:r w:rsidR="000A27B8">
        <w:t>–</w:t>
      </w:r>
      <w:r w:rsidRPr="004107C2">
        <w:t xml:space="preserve"> </w:t>
      </w:r>
      <w:r w:rsidR="00085CE7" w:rsidRPr="004107C2">
        <w:t>Resumes for Key Staff</w:t>
      </w:r>
    </w:p>
    <w:p w14:paraId="5EE01053" w14:textId="01EA6871" w:rsidR="00505281" w:rsidRPr="004107C2" w:rsidRDefault="00505281" w:rsidP="00505281">
      <w:pPr>
        <w:pStyle w:val="ListNumber5"/>
        <w:ind w:left="1530" w:hanging="450"/>
      </w:pPr>
      <w:r w:rsidRPr="004107C2">
        <w:t xml:space="preserve">Tab </w:t>
      </w:r>
      <w:r>
        <w:t>11</w:t>
      </w:r>
      <w:r w:rsidRPr="004107C2">
        <w:t xml:space="preserve"> </w:t>
      </w:r>
      <w:r w:rsidR="000A27B8">
        <w:t>–</w:t>
      </w:r>
      <w:r w:rsidRPr="004107C2">
        <w:t xml:space="preserve"> </w:t>
      </w:r>
      <w:r w:rsidR="00085CE7" w:rsidRPr="004107C2">
        <w:t>Any Additional I</w:t>
      </w:r>
      <w:r w:rsidR="00085CE7">
        <w:t>nformation</w:t>
      </w:r>
    </w:p>
    <w:p w14:paraId="111F927B" w14:textId="77777777" w:rsidR="00505281" w:rsidRDefault="00505281" w:rsidP="002862EE">
      <w:pPr>
        <w:pStyle w:val="NumList1"/>
        <w:numPr>
          <w:ilvl w:val="0"/>
          <w:numId w:val="2"/>
        </w:numPr>
        <w:ind w:hanging="450"/>
      </w:pPr>
      <w:r w:rsidRPr="004107C2">
        <w:t>Number each page of the proposal. Multiple page attachments and samples should be numbered internally within each document, and not necessarily numbered in the overall page number sequence of the entire proposal. The intent of this requirement is that the proposer submit all information in a manner so that it is clearly referenced and easily located.</w:t>
      </w:r>
    </w:p>
    <w:p w14:paraId="7302E4C4" w14:textId="77777777" w:rsidR="001F5846" w:rsidRDefault="001F5846" w:rsidP="001F5846">
      <w:pPr>
        <w:pStyle w:val="NumList1"/>
        <w:numPr>
          <w:ilvl w:val="0"/>
          <w:numId w:val="0"/>
        </w:numPr>
        <w:ind w:left="1080"/>
      </w:pPr>
    </w:p>
    <w:p w14:paraId="03432079" w14:textId="6D3F2BCE" w:rsidR="00505281" w:rsidRDefault="00505281" w:rsidP="002862EE">
      <w:pPr>
        <w:pStyle w:val="NumList1"/>
        <w:numPr>
          <w:ilvl w:val="0"/>
          <w:numId w:val="2"/>
        </w:numPr>
        <w:ind w:hanging="450"/>
      </w:pPr>
      <w:r>
        <w:t xml:space="preserve">In addition to the </w:t>
      </w:r>
      <w:r w:rsidRPr="00305713">
        <w:rPr>
          <w:u w:val="single"/>
        </w:rPr>
        <w:t>printed</w:t>
      </w:r>
      <w:r>
        <w:t xml:space="preserve"> proposal, provide one </w:t>
      </w:r>
      <w:r w:rsidRPr="00305713">
        <w:rPr>
          <w:u w:val="single"/>
        </w:rPr>
        <w:t>electronic</w:t>
      </w:r>
      <w:r>
        <w:t xml:space="preserve"> copy of the </w:t>
      </w:r>
      <w:r w:rsidRPr="00305713">
        <w:rPr>
          <w:u w:val="single"/>
        </w:rPr>
        <w:t>complete</w:t>
      </w:r>
      <w:r>
        <w:t xml:space="preserve"> </w:t>
      </w:r>
      <w:r w:rsidRPr="004107C2">
        <w:t xml:space="preserve">proposal </w:t>
      </w:r>
      <w:r w:rsidRPr="00305713">
        <w:rPr>
          <w:u w:val="single"/>
        </w:rPr>
        <w:t>including all attachments</w:t>
      </w:r>
      <w:r>
        <w:t xml:space="preserve"> </w:t>
      </w:r>
      <w:r w:rsidRPr="004107C2">
        <w:t xml:space="preserve">in </w:t>
      </w:r>
      <w:r>
        <w:t xml:space="preserve">a searchable </w:t>
      </w:r>
      <w:r w:rsidR="00C71805" w:rsidRPr="00EB7D54">
        <w:t>Microsoft Office</w:t>
      </w:r>
      <w:r w:rsidR="00C71805" w:rsidRPr="009D2A3B">
        <w:rPr>
          <w:vertAlign w:val="superscript"/>
        </w:rPr>
        <w:t>®</w:t>
      </w:r>
      <w:r w:rsidR="00C71805" w:rsidRPr="00EB7D54">
        <w:t xml:space="preserve"> </w:t>
      </w:r>
      <w:r>
        <w:t xml:space="preserve">format, preferably in </w:t>
      </w:r>
      <w:r w:rsidR="00C71805" w:rsidRPr="00EB7D54">
        <w:t>Word</w:t>
      </w:r>
      <w:r w:rsidR="00C71805" w:rsidRPr="009D2A3B">
        <w:rPr>
          <w:vertAlign w:val="superscript"/>
        </w:rPr>
        <w:t>®</w:t>
      </w:r>
      <w:r>
        <w:t xml:space="preserve"> or</w:t>
      </w:r>
      <w:r w:rsidRPr="004107C2">
        <w:t xml:space="preserve"> </w:t>
      </w:r>
      <w:r>
        <w:t>P</w:t>
      </w:r>
      <w:r w:rsidRPr="004107C2">
        <w:t xml:space="preserve">ortable </w:t>
      </w:r>
      <w:r>
        <w:t>D</w:t>
      </w:r>
      <w:r w:rsidRPr="004107C2">
        <w:t xml:space="preserve">ocument </w:t>
      </w:r>
      <w:r>
        <w:t>F</w:t>
      </w:r>
      <w:r w:rsidRPr="004107C2">
        <w:t>ormat (PDF</w:t>
      </w:r>
      <w:r w:rsidR="00C71805" w:rsidRPr="009D2A3B">
        <w:rPr>
          <w:vertAlign w:val="superscript"/>
        </w:rPr>
        <w:t>®</w:t>
      </w:r>
      <w:r w:rsidRPr="004107C2">
        <w:t>) on flash drive or compact dis</w:t>
      </w:r>
      <w:r>
        <w:t>c</w:t>
      </w:r>
      <w:r w:rsidRPr="004107C2">
        <w:t xml:space="preserve">. </w:t>
      </w:r>
      <w:r>
        <w:t xml:space="preserve">  </w:t>
      </w:r>
    </w:p>
    <w:p w14:paraId="190320D7" w14:textId="1499A0C2" w:rsidR="002725B7" w:rsidRPr="009D2A3B" w:rsidRDefault="002725B7" w:rsidP="00D366E6">
      <w:pPr>
        <w:pStyle w:val="NumList1"/>
        <w:numPr>
          <w:ilvl w:val="0"/>
          <w:numId w:val="2"/>
        </w:numPr>
        <w:ind w:hanging="450"/>
        <w:rPr>
          <w:b/>
          <w:i/>
        </w:rPr>
      </w:pPr>
      <w:r>
        <w:t xml:space="preserve">In addition to the electronic copy of the complete proposal, provide one </w:t>
      </w:r>
      <w:r w:rsidRPr="00305713">
        <w:rPr>
          <w:u w:val="single"/>
        </w:rPr>
        <w:t>electronic “blind”</w:t>
      </w:r>
      <w:r>
        <w:t xml:space="preserve"> copy of your proposal with </w:t>
      </w:r>
      <w:r w:rsidRPr="009D2A3B">
        <w:rPr>
          <w:b/>
          <w:u w:val="single"/>
        </w:rPr>
        <w:t>all</w:t>
      </w:r>
      <w:r w:rsidR="00305713">
        <w:t xml:space="preserve"> vendor-</w:t>
      </w:r>
      <w:r>
        <w:t>identifying information re</w:t>
      </w:r>
      <w:r w:rsidR="00305713">
        <w:t>moved and/or redacted.  Vendor-</w:t>
      </w:r>
      <w:r>
        <w:t>identifying information includes but may not be limited to your firm’s name, logo, slogan, color scheme, as well as the names/identities of any of your staff. This requirement is necessary to help ensure the anonymity of the proposers from the evaluation team that will review the aforementioned sections of your proposal.  The “blind” copy s</w:t>
      </w:r>
      <w:r w:rsidRPr="00EB7D54">
        <w:t>hould be provided in a searchable Microsoft Office</w:t>
      </w:r>
      <w:r w:rsidRPr="009D2A3B">
        <w:rPr>
          <w:vertAlign w:val="superscript"/>
        </w:rPr>
        <w:t>®</w:t>
      </w:r>
      <w:r w:rsidRPr="00EB7D54">
        <w:t xml:space="preserve"> format, preferably in Word</w:t>
      </w:r>
      <w:r w:rsidRPr="009D2A3B">
        <w:rPr>
          <w:vertAlign w:val="superscript"/>
        </w:rPr>
        <w:t>®</w:t>
      </w:r>
      <w:r w:rsidRPr="00EB7D54">
        <w:t xml:space="preserve">. </w:t>
      </w:r>
      <w:r w:rsidRPr="00305713">
        <w:rPr>
          <w:b/>
          <w:u w:val="single"/>
        </w:rPr>
        <w:t xml:space="preserve">It is mandatory that your </w:t>
      </w:r>
      <w:r w:rsidR="00305713">
        <w:rPr>
          <w:b/>
          <w:u w:val="single"/>
        </w:rPr>
        <w:t xml:space="preserve">electronic </w:t>
      </w:r>
      <w:r w:rsidRPr="00305713">
        <w:rPr>
          <w:b/>
          <w:u w:val="single"/>
        </w:rPr>
        <w:t>“blind” copy submission not contain any vendor-identifying information.</w:t>
      </w:r>
      <w:r w:rsidRPr="009D2A3B">
        <w:rPr>
          <w:b/>
        </w:rPr>
        <w:t xml:space="preserve"> Proposals containing vendor-identifying information </w:t>
      </w:r>
      <w:r w:rsidRPr="00305713">
        <w:rPr>
          <w:b/>
          <w:u w:val="single"/>
        </w:rPr>
        <w:t xml:space="preserve">may be </w:t>
      </w:r>
      <w:r w:rsidR="00035EB1" w:rsidRPr="00305713">
        <w:rPr>
          <w:b/>
          <w:u w:val="single"/>
        </w:rPr>
        <w:t>disqualified</w:t>
      </w:r>
      <w:r w:rsidRPr="009D2A3B">
        <w:rPr>
          <w:b/>
        </w:rPr>
        <w:t>.</w:t>
      </w:r>
    </w:p>
    <w:p w14:paraId="03B51CAB" w14:textId="1C739053" w:rsidR="006564C1" w:rsidRDefault="000A699D" w:rsidP="006564C1">
      <w:pPr>
        <w:pStyle w:val="NumList1"/>
        <w:numPr>
          <w:ilvl w:val="0"/>
          <w:numId w:val="2"/>
        </w:numPr>
        <w:ind w:hanging="450"/>
      </w:pPr>
      <w:r>
        <w:t>DFA</w:t>
      </w:r>
      <w:r w:rsidR="006564C1" w:rsidRPr="00791DB0">
        <w:t xml:space="preserve"> understands that the proposer may consider some of the information provided in</w:t>
      </w:r>
      <w:r w:rsidR="006564C1" w:rsidRPr="00EB7D54">
        <w:t xml:space="preserve"> the proposal to be confidential and/or proprietary. If any portion of the proposal is considered confidential or proprietary, the </w:t>
      </w:r>
      <w:r w:rsidR="001B0A63">
        <w:t>proposer</w:t>
      </w:r>
      <w:r w:rsidR="006564C1" w:rsidRPr="00EB7D54">
        <w:t xml:space="preserve"> shall also include an </w:t>
      </w:r>
      <w:r w:rsidR="006564C1" w:rsidRPr="00ED566F">
        <w:rPr>
          <w:u w:val="single"/>
        </w:rPr>
        <w:t xml:space="preserve">additional electronic </w:t>
      </w:r>
      <w:r w:rsidR="00ED566F">
        <w:rPr>
          <w:u w:val="single"/>
        </w:rPr>
        <w:t xml:space="preserve">“redacted” </w:t>
      </w:r>
      <w:r w:rsidR="006564C1" w:rsidRPr="00ED566F">
        <w:rPr>
          <w:u w:val="single"/>
        </w:rPr>
        <w:t>copy</w:t>
      </w:r>
      <w:r w:rsidR="006564C1" w:rsidRPr="00EB7D54">
        <w:t xml:space="preserve"> in PDF</w:t>
      </w:r>
      <w:r w:rsidR="00C71805" w:rsidRPr="009D2A3B">
        <w:rPr>
          <w:vertAlign w:val="superscript"/>
        </w:rPr>
        <w:t>®</w:t>
      </w:r>
      <w:r w:rsidR="006564C1" w:rsidRPr="00EB7D54">
        <w:t xml:space="preserve"> of the complete proposal, including all appendices and exhibits, </w:t>
      </w:r>
      <w:r w:rsidR="006564C1" w:rsidRPr="00ED566F">
        <w:rPr>
          <w:u w:val="single"/>
        </w:rPr>
        <w:t>with all trade secrets or confidential commercial or financial information redacted</w:t>
      </w:r>
      <w:r w:rsidR="006564C1">
        <w:t xml:space="preserve">. If the proposal does not contain any </w:t>
      </w:r>
      <w:r w:rsidR="00ED566F">
        <w:t xml:space="preserve">confidential </w:t>
      </w:r>
      <w:r w:rsidR="006564C1">
        <w:t>information to be redacted</w:t>
      </w:r>
      <w:r w:rsidR="006564C1" w:rsidRPr="00542C18">
        <w:t>, please state</w:t>
      </w:r>
      <w:r w:rsidR="006564C1">
        <w:t xml:space="preserve"> such in your Introduction/Signed Proposal Cover </w:t>
      </w:r>
      <w:r w:rsidR="006564C1" w:rsidRPr="00791DB0">
        <w:t xml:space="preserve">Letter. </w:t>
      </w:r>
      <w:r w:rsidR="006564C1" w:rsidRPr="00BF396D">
        <w:rPr>
          <w:b/>
        </w:rPr>
        <w:t>Failure to submit a</w:t>
      </w:r>
      <w:r w:rsidR="00ED566F">
        <w:rPr>
          <w:b/>
        </w:rPr>
        <w:t>n electronic</w:t>
      </w:r>
      <w:r w:rsidR="006564C1" w:rsidRPr="00BF396D">
        <w:rPr>
          <w:b/>
        </w:rPr>
        <w:t xml:space="preserve"> </w:t>
      </w:r>
      <w:r w:rsidR="00ED566F">
        <w:rPr>
          <w:b/>
        </w:rPr>
        <w:t>“</w:t>
      </w:r>
      <w:r w:rsidR="006564C1" w:rsidRPr="00BF396D">
        <w:rPr>
          <w:b/>
        </w:rPr>
        <w:t>redacted</w:t>
      </w:r>
      <w:r w:rsidR="00ED566F">
        <w:rPr>
          <w:b/>
        </w:rPr>
        <w:t>”</w:t>
      </w:r>
      <w:r w:rsidR="006564C1" w:rsidRPr="00BF396D">
        <w:rPr>
          <w:b/>
        </w:rPr>
        <w:t xml:space="preserve"> copy of your proposal </w:t>
      </w:r>
      <w:r w:rsidR="006564C1" w:rsidRPr="00ED566F">
        <w:rPr>
          <w:b/>
          <w:u w:val="single"/>
        </w:rPr>
        <w:t xml:space="preserve">may </w:t>
      </w:r>
      <w:r w:rsidR="00ED566F" w:rsidRPr="00ED566F">
        <w:rPr>
          <w:b/>
          <w:u w:val="single"/>
        </w:rPr>
        <w:t>result</w:t>
      </w:r>
      <w:r w:rsidR="00ED566F">
        <w:rPr>
          <w:b/>
        </w:rPr>
        <w:t xml:space="preserve"> in confidential information contained in your proposal being released</w:t>
      </w:r>
      <w:r w:rsidR="006564C1" w:rsidRPr="00BF396D">
        <w:rPr>
          <w:b/>
        </w:rPr>
        <w:t>.</w:t>
      </w:r>
      <w:r w:rsidR="006564C1">
        <w:t xml:space="preserve"> </w:t>
      </w:r>
    </w:p>
    <w:p w14:paraId="0810F514" w14:textId="683E1FEB" w:rsidR="00495561" w:rsidRPr="00495561" w:rsidRDefault="00505281" w:rsidP="00495561">
      <w:pPr>
        <w:pStyle w:val="NumList1"/>
        <w:numPr>
          <w:ilvl w:val="0"/>
          <w:numId w:val="2"/>
        </w:numPr>
        <w:ind w:hanging="450"/>
      </w:pPr>
      <w:r w:rsidRPr="008651CF">
        <w:t xml:space="preserve">If any portion of the proposal is considered confidential or proprietary, </w:t>
      </w:r>
      <w:r w:rsidR="00D52104">
        <w:t>DFA</w:t>
      </w:r>
      <w:r w:rsidRPr="00F32B43">
        <w:t xml:space="preserve"> requests that each page of the printed proposa</w:t>
      </w:r>
      <w:r>
        <w:t>l that the proposer considers co</w:t>
      </w:r>
      <w:r w:rsidRPr="00F32B43">
        <w:t xml:space="preserve">nfidential be conspicuously marked by being printed on a different color paper than non-confidential pages and be marked in the upper right hand corner of each page with the word “CONFIDENTIAL.”  Confidential information </w:t>
      </w:r>
      <w:r w:rsidR="00D52104">
        <w:t xml:space="preserve">included in the electronic copies of the proposal should also </w:t>
      </w:r>
      <w:r w:rsidRPr="00F32B43">
        <w:t xml:space="preserve">be </w:t>
      </w:r>
      <w:r w:rsidR="00D52104">
        <w:t xml:space="preserve">clearly </w:t>
      </w:r>
      <w:r w:rsidRPr="00F32B43">
        <w:t>identified</w:t>
      </w:r>
      <w:r w:rsidR="00D52104">
        <w:t xml:space="preserve">, </w:t>
      </w:r>
      <w:r w:rsidRPr="00F32B43">
        <w:t xml:space="preserve">by alternate font </w:t>
      </w:r>
      <w:r w:rsidR="00D52104">
        <w:t xml:space="preserve">and/or background </w:t>
      </w:r>
      <w:r w:rsidRPr="00F32B43">
        <w:t xml:space="preserve">color. </w:t>
      </w:r>
      <w:r w:rsidRPr="00D52104">
        <w:rPr>
          <w:b/>
        </w:rPr>
        <w:t xml:space="preserve">Failure to clearly identify trade secrets or confidential commercial or financial information </w:t>
      </w:r>
      <w:r w:rsidRPr="00495561">
        <w:rPr>
          <w:b/>
          <w:u w:val="single"/>
        </w:rPr>
        <w:t>may result</w:t>
      </w:r>
      <w:r w:rsidRPr="00D52104">
        <w:rPr>
          <w:b/>
        </w:rPr>
        <w:t xml:space="preserve"> </w:t>
      </w:r>
      <w:r w:rsidR="00495561">
        <w:rPr>
          <w:b/>
        </w:rPr>
        <w:t>in confidential information contained in your proposal being released</w:t>
      </w:r>
      <w:r w:rsidR="00495561" w:rsidRPr="00BF396D">
        <w:rPr>
          <w:b/>
        </w:rPr>
        <w:t>.</w:t>
      </w:r>
      <w:r w:rsidR="00495561">
        <w:t xml:space="preserve">  NOTE: </w:t>
      </w:r>
      <w:r w:rsidR="00495561" w:rsidRPr="00495561">
        <w:t xml:space="preserve">Failure to secure a protective order through the chancery courts in the State of Mississippi may result in all information, even if previously identified as “confidential”, being released in response to a public records request.  </w:t>
      </w:r>
    </w:p>
    <w:p w14:paraId="3BFF15E8" w14:textId="77777777" w:rsidR="00505281" w:rsidRDefault="00505281" w:rsidP="002862EE">
      <w:pPr>
        <w:pStyle w:val="NumList1"/>
        <w:numPr>
          <w:ilvl w:val="0"/>
          <w:numId w:val="2"/>
        </w:numPr>
        <w:ind w:hanging="450"/>
      </w:pPr>
      <w:r w:rsidRPr="004E1204">
        <w:t>In accordance with</w:t>
      </w:r>
      <w:r w:rsidRPr="009B1280">
        <w:rPr>
          <w:i/>
        </w:rPr>
        <w:t xml:space="preserve"> Mississippi Public Procurement Review Board Office of Personal Service Contract Review Rules and Regulations Item 1-301</w:t>
      </w:r>
      <w:r>
        <w:t>, “</w:t>
      </w:r>
      <w:r w:rsidRPr="00CB2A58">
        <w:t xml:space="preserve">Any </w:t>
      </w:r>
      <w:r>
        <w:t xml:space="preserve">party </w:t>
      </w:r>
      <w:r w:rsidRPr="00CB2A58">
        <w:t>seeking a protective order</w:t>
      </w:r>
      <w:r>
        <w:t xml:space="preserve"> </w:t>
      </w:r>
      <w:r w:rsidRPr="00E835CA">
        <w:t>on</w:t>
      </w:r>
      <w:r>
        <w:t xml:space="preserve"> a p</w:t>
      </w:r>
      <w:r w:rsidRPr="00E835CA">
        <w:t xml:space="preserve">rocurement contract awarded by state agencies shall give notice to and provide the reasons for the protective order to the party requesting the information in accordance with the Mississippi Rules of Civil Procedure. The notice and reasons for the protective order must </w:t>
      </w:r>
      <w:r>
        <w:t xml:space="preserve">also </w:t>
      </w:r>
      <w:r w:rsidRPr="00E835CA">
        <w:t>b</w:t>
      </w:r>
      <w:r>
        <w:t>e</w:t>
      </w:r>
      <w:r w:rsidRPr="00E835CA">
        <w:t xml:space="preserve"> posted on the Mississippi </w:t>
      </w:r>
      <w:r>
        <w:t>P</w:t>
      </w:r>
      <w:r w:rsidRPr="00E835CA">
        <w:t xml:space="preserve">rocurement </w:t>
      </w:r>
      <w:r>
        <w:t>P</w:t>
      </w:r>
      <w:r w:rsidRPr="00E835CA">
        <w:t>ortal for a minimum of seven (7) days before filing the petition seeking the protective order in</w:t>
      </w:r>
      <w:r>
        <w:t xml:space="preserve"> a</w:t>
      </w:r>
      <w:r w:rsidRPr="00E835CA">
        <w:t xml:space="preserve"> </w:t>
      </w:r>
      <w:r>
        <w:t>chancery c</w:t>
      </w:r>
      <w:r w:rsidRPr="00F32B43">
        <w:t>ourt</w:t>
      </w:r>
      <w:r w:rsidRPr="00E835CA">
        <w:t xml:space="preserve">. Any party seeking a protective order in violation of this subsection may be barred by a state agency from submitting bids, proposals or qualifications for </w:t>
      </w:r>
      <w:r>
        <w:t xml:space="preserve">state </w:t>
      </w:r>
      <w:r w:rsidRPr="00E835CA">
        <w:t>procurement</w:t>
      </w:r>
      <w:r>
        <w:t>s</w:t>
      </w:r>
      <w:r w:rsidRPr="00E835CA">
        <w:t xml:space="preserve"> for a period not to exceed five (5) years.</w:t>
      </w:r>
      <w:r>
        <w:t>”</w:t>
      </w:r>
      <w:r w:rsidRPr="00E835CA">
        <w:t xml:space="preserve"> Any records requested through a public records request shall be released no later than twenty-one (21) days from the date the third parties are given notice by the public body unless the third parties have </w:t>
      </w:r>
      <w:r>
        <w:t xml:space="preserve">followed the notification requirements and also </w:t>
      </w:r>
      <w:r w:rsidRPr="00E835CA">
        <w:t xml:space="preserve">filed in </w:t>
      </w:r>
      <w:r>
        <w:t>c</w:t>
      </w:r>
      <w:r w:rsidRPr="00E835CA">
        <w:t xml:space="preserve">hancery </w:t>
      </w:r>
      <w:r>
        <w:t>c</w:t>
      </w:r>
      <w:r w:rsidRPr="00E835CA">
        <w:t>ourt a petition seeking a protective order on or before the expiration of the twenty-one day time period.</w:t>
      </w:r>
      <w:r>
        <w:t xml:space="preserve"> </w:t>
      </w:r>
      <w:r w:rsidRPr="00F32B43">
        <w:t xml:space="preserve">  </w:t>
      </w:r>
    </w:p>
    <w:p w14:paraId="510F1908" w14:textId="77777777" w:rsidR="001F5846" w:rsidRDefault="001F5846" w:rsidP="001F5846">
      <w:pPr>
        <w:pStyle w:val="NumList1"/>
        <w:numPr>
          <w:ilvl w:val="0"/>
          <w:numId w:val="0"/>
        </w:numPr>
        <w:ind w:left="1080"/>
      </w:pPr>
    </w:p>
    <w:p w14:paraId="10DDFD82" w14:textId="77777777" w:rsidR="00E93F45" w:rsidRDefault="00E93F45" w:rsidP="00E93F45">
      <w:pPr>
        <w:pStyle w:val="NumList1"/>
        <w:numPr>
          <w:ilvl w:val="0"/>
          <w:numId w:val="2"/>
        </w:numPr>
        <w:ind w:hanging="450"/>
      </w:pPr>
      <w:r w:rsidRPr="004107C2">
        <w:t xml:space="preserve">In preparing your written response to any RFP question or request for information, you are required to repeat each question, including the number, or requirement followed by your response. Please provide complete answers and explain all issues in a concise, direct manner. If you cannot provide a direct response for some reason (e.g., your </w:t>
      </w:r>
      <w:r>
        <w:t>firm</w:t>
      </w:r>
      <w:r w:rsidRPr="004107C2">
        <w:t xml:space="preserve"> does not collect or furnish certain information), please indicate the reason rather than providing general information that fails to answer the question. “Will discuss” and “will consider” are not appropriate answers.</w:t>
      </w:r>
      <w:r>
        <w:t xml:space="preserve"> </w:t>
      </w:r>
    </w:p>
    <w:p w14:paraId="43F829FE" w14:textId="2D76EFC3" w:rsidR="00505281" w:rsidRDefault="00505281" w:rsidP="002862EE">
      <w:pPr>
        <w:pStyle w:val="NumList1"/>
        <w:numPr>
          <w:ilvl w:val="0"/>
          <w:numId w:val="2"/>
        </w:numPr>
        <w:ind w:hanging="450"/>
      </w:pPr>
      <w:r w:rsidRPr="004107C2">
        <w:t xml:space="preserve">Please respond </w:t>
      </w:r>
      <w:r w:rsidRPr="00702A70">
        <w:t xml:space="preserve">to </w:t>
      </w:r>
      <w:r w:rsidRPr="00163A23">
        <w:rPr>
          <w:b/>
          <w:i/>
        </w:rPr>
        <w:t xml:space="preserve">Section </w:t>
      </w:r>
      <w:r>
        <w:rPr>
          <w:b/>
          <w:i/>
        </w:rPr>
        <w:t xml:space="preserve">3 – </w:t>
      </w:r>
      <w:r w:rsidRPr="00702A70">
        <w:rPr>
          <w:b/>
          <w:i/>
        </w:rPr>
        <w:t>Scope</w:t>
      </w:r>
      <w:r w:rsidRPr="004107C2">
        <w:rPr>
          <w:b/>
          <w:i/>
        </w:rPr>
        <w:t xml:space="preserve"> of Services</w:t>
      </w:r>
      <w:r w:rsidRPr="004107C2">
        <w:t xml:space="preserve"> by restating each service listed and confirm your intention to provide the service as described by </w:t>
      </w:r>
      <w:r w:rsidR="00EF30FA">
        <w:t>responding</w:t>
      </w:r>
      <w:r w:rsidRPr="004107C2">
        <w:t>, “</w:t>
      </w:r>
      <w:r w:rsidRPr="004107C2">
        <w:rPr>
          <w:i/>
        </w:rPr>
        <w:t>Confirmed</w:t>
      </w:r>
      <w:r w:rsidRPr="004107C2">
        <w:t xml:space="preserve">”. If your </w:t>
      </w:r>
      <w:r>
        <w:t>firm</w:t>
      </w:r>
      <w:r w:rsidRPr="004107C2">
        <w:t xml:space="preserve"> can provide the service, but not exactly as described, </w:t>
      </w:r>
      <w:r w:rsidR="00EF30FA">
        <w:t>respond</w:t>
      </w:r>
      <w:r w:rsidRPr="004107C2">
        <w:t>, “</w:t>
      </w:r>
      <w:r w:rsidRPr="004107C2">
        <w:rPr>
          <w:i/>
        </w:rPr>
        <w:t>Confirmed, but with exceptions</w:t>
      </w:r>
      <w:r w:rsidRPr="004107C2">
        <w:t xml:space="preserve">”, and state the specific exceptions. If your </w:t>
      </w:r>
      <w:r>
        <w:t>firm</w:t>
      </w:r>
      <w:r w:rsidRPr="004107C2">
        <w:t xml:space="preserve"> intends to provide a listed service through a subcontractor, </w:t>
      </w:r>
      <w:r w:rsidR="00EF30FA">
        <w:t>respond</w:t>
      </w:r>
      <w:r w:rsidRPr="004107C2">
        <w:t>, “</w:t>
      </w:r>
      <w:r w:rsidRPr="004107C2">
        <w:rPr>
          <w:i/>
        </w:rPr>
        <w:t>Confirmed, service will be provided through subcontractor</w:t>
      </w:r>
      <w:r w:rsidRPr="004107C2">
        <w:t xml:space="preserve">”, and name the subcontractor. If your </w:t>
      </w:r>
      <w:r>
        <w:t>firm</w:t>
      </w:r>
      <w:r w:rsidRPr="004107C2">
        <w:t xml:space="preserve"> is currently unable to provide a listed service, respond by </w:t>
      </w:r>
      <w:r w:rsidR="00EF30FA">
        <w:t>responding</w:t>
      </w:r>
      <w:r w:rsidRPr="004107C2">
        <w:t>, “</w:t>
      </w:r>
      <w:r w:rsidRPr="004107C2">
        <w:rPr>
          <w:i/>
        </w:rPr>
        <w:t>Unable to provide this service</w:t>
      </w:r>
      <w:r w:rsidRPr="004107C2">
        <w:t>”. Any additional details regarding these services should be provided in your responses to the questionnaire, or as additional information included as an appendix to your proposal.</w:t>
      </w:r>
    </w:p>
    <w:p w14:paraId="33E85A0C" w14:textId="544BA368" w:rsidR="00505281" w:rsidRPr="004107C2" w:rsidRDefault="00505281" w:rsidP="002862EE">
      <w:pPr>
        <w:pStyle w:val="NumList1"/>
        <w:numPr>
          <w:ilvl w:val="0"/>
          <w:numId w:val="2"/>
        </w:numPr>
        <w:ind w:hanging="450"/>
      </w:pPr>
      <w:r w:rsidRPr="004107C2">
        <w:t>All information requested is</w:t>
      </w:r>
      <w:r>
        <w:t xml:space="preserve"> </w:t>
      </w:r>
      <w:r w:rsidRPr="004107C2">
        <w:t xml:space="preserve">considered important. If you have additional information you would like to provide, include it as </w:t>
      </w:r>
      <w:r>
        <w:t xml:space="preserve">Tab </w:t>
      </w:r>
      <w:r w:rsidR="00A24C02">
        <w:t>11</w:t>
      </w:r>
      <w:r w:rsidRPr="004107C2">
        <w:t xml:space="preserve"> to your proposal. It is the proposer’s sole responsibility to submit information relative to the evaluation of its proposal and </w:t>
      </w:r>
      <w:r w:rsidR="00D9323D">
        <w:t>DFA</w:t>
      </w:r>
      <w:r w:rsidRPr="004107C2">
        <w:t xml:space="preserve"> is under no obligation to solicit such information if it is not included with the proposal. </w:t>
      </w:r>
      <w:r w:rsidR="00D9323D">
        <w:t>The Board and DFA</w:t>
      </w:r>
      <w:r w:rsidRPr="004107C2">
        <w:t xml:space="preserve"> will use the information contained in your proposal in determining whether you will be selected for contract negotiations. The Board </w:t>
      </w:r>
      <w:r w:rsidR="00D9323D">
        <w:t xml:space="preserve">and DFA </w:t>
      </w:r>
      <w:r w:rsidRPr="004107C2">
        <w:t xml:space="preserve">will consider the proposal an integral part of the contract and will expect </w:t>
      </w:r>
      <w:r>
        <w:t>you</w:t>
      </w:r>
      <w:r w:rsidRPr="004107C2">
        <w:t xml:space="preserve"> to honor all representations made in </w:t>
      </w:r>
      <w:r>
        <w:t>your</w:t>
      </w:r>
      <w:r w:rsidRPr="004107C2">
        <w:t xml:space="preserve"> proposal.</w:t>
      </w:r>
    </w:p>
    <w:p w14:paraId="73D35606" w14:textId="3250C3CB" w:rsidR="00505281" w:rsidRDefault="00E93F45" w:rsidP="002862EE">
      <w:pPr>
        <w:pStyle w:val="NumList1"/>
        <w:numPr>
          <w:ilvl w:val="0"/>
          <w:numId w:val="2"/>
        </w:numPr>
        <w:ind w:hanging="450"/>
      </w:pPr>
      <w:r>
        <w:t xml:space="preserve">If </w:t>
      </w:r>
      <w:r w:rsidR="006564C1" w:rsidRPr="00914A1B">
        <w:t>DFA</w:t>
      </w:r>
      <w:r w:rsidR="00505281" w:rsidRPr="004107C2">
        <w:t xml:space="preserve"> determines that the proposer has altered any la</w:t>
      </w:r>
      <w:r>
        <w:t xml:space="preserve">nguage in the original RFP, </w:t>
      </w:r>
      <w:r w:rsidR="006564C1" w:rsidRPr="00914A1B">
        <w:t>DFA</w:t>
      </w:r>
      <w:r w:rsidR="00505281" w:rsidRPr="004107C2">
        <w:t xml:space="preserve"> may, at its sole discretion, disqualify the proposer from further consideration. The RFP issued by</w:t>
      </w:r>
      <w:r>
        <w:t xml:space="preserve"> DFA </w:t>
      </w:r>
      <w:r w:rsidR="00505281" w:rsidRPr="004107C2">
        <w:t xml:space="preserve">is the official version and will supersede any conflicting RFP language </w:t>
      </w:r>
      <w:r w:rsidR="00505281">
        <w:t xml:space="preserve">subsequently </w:t>
      </w:r>
      <w:r w:rsidR="00505281" w:rsidRPr="004107C2">
        <w:t xml:space="preserve">submitted in proposals. </w:t>
      </w:r>
    </w:p>
    <w:p w14:paraId="0D9811F4" w14:textId="3A4BFAAB" w:rsidR="00505281" w:rsidRPr="004107C2" w:rsidRDefault="00505281" w:rsidP="002862EE">
      <w:pPr>
        <w:pStyle w:val="NumList1"/>
        <w:numPr>
          <w:ilvl w:val="0"/>
          <w:numId w:val="2"/>
        </w:numPr>
        <w:ind w:hanging="450"/>
      </w:pPr>
      <w:r w:rsidRPr="004107C2">
        <w:t>All documentation submitted in response to this RFP and any subsequent requests for information pertaining to this RFP shall become the</w:t>
      </w:r>
      <w:r w:rsidR="00E93F45">
        <w:t xml:space="preserve"> property of </w:t>
      </w:r>
      <w:r w:rsidR="006564C1" w:rsidRPr="00914A1B">
        <w:t>DFA</w:t>
      </w:r>
      <w:r w:rsidRPr="004107C2">
        <w:t xml:space="preserve"> and will not be returned to the proposer.</w:t>
      </w:r>
    </w:p>
    <w:p w14:paraId="1DF5752A" w14:textId="6C8DD5B5" w:rsidR="00505281" w:rsidRDefault="00505281" w:rsidP="005A6B79">
      <w:pPr>
        <w:pStyle w:val="NumList1"/>
        <w:numPr>
          <w:ilvl w:val="0"/>
          <w:numId w:val="2"/>
        </w:numPr>
        <w:ind w:hanging="450"/>
      </w:pPr>
      <w:r w:rsidRPr="004107C2">
        <w:t>Failure to provide all requested information and in the required format may result in disqua</w:t>
      </w:r>
      <w:r w:rsidR="00E93F45">
        <w:t xml:space="preserve">lification of the proposal. </w:t>
      </w:r>
      <w:r w:rsidR="006564C1" w:rsidRPr="00914A1B">
        <w:t>DFA</w:t>
      </w:r>
      <w:r w:rsidRPr="004107C2">
        <w:t xml:space="preserve"> has no obligation to locate or acknowledge any information in the proposal that is not presented under the appropriate outline according to these instructions and in the proper location.</w:t>
      </w:r>
      <w:r>
        <w:t xml:space="preserve"> </w:t>
      </w:r>
    </w:p>
    <w:p w14:paraId="0EFCFCA5" w14:textId="1B21CC39" w:rsidR="00EC203B" w:rsidRDefault="00EC203B" w:rsidP="00EC203B">
      <w:pPr>
        <w:pStyle w:val="Heading2"/>
        <w:numPr>
          <w:ilvl w:val="1"/>
          <w:numId w:val="1"/>
        </w:numPr>
        <w:ind w:left="418" w:hanging="418"/>
        <w:jc w:val="both"/>
        <w:rPr>
          <w:sz w:val="24"/>
        </w:rPr>
      </w:pPr>
      <w:bookmarkStart w:id="6" w:name="_Toc3360005"/>
      <w:r>
        <w:rPr>
          <w:sz w:val="24"/>
        </w:rPr>
        <w:t>Important Dates</w:t>
      </w:r>
      <w:bookmarkEnd w:id="6"/>
      <w:r>
        <w:rPr>
          <w:sz w:val="24"/>
        </w:rPr>
        <w:t xml:space="preserve"> </w:t>
      </w:r>
      <w:r w:rsidRPr="00D1375F">
        <w:rPr>
          <w:sz w:val="24"/>
        </w:rPr>
        <w:t xml:space="preserve"> </w:t>
      </w:r>
    </w:p>
    <w:p w14:paraId="184C7C3D" w14:textId="7014D6C7" w:rsidR="00EC203B" w:rsidRPr="00EC203B" w:rsidRDefault="00EC203B" w:rsidP="00EC203B">
      <w:pPr>
        <w:pStyle w:val="NumList1"/>
        <w:numPr>
          <w:ilvl w:val="0"/>
          <w:numId w:val="0"/>
        </w:numPr>
        <w:spacing w:before="0" w:after="0"/>
        <w:ind w:left="418"/>
        <w:rPr>
          <w:b/>
        </w:rPr>
      </w:pPr>
      <w:r w:rsidRPr="00EC203B">
        <w:rPr>
          <w:b/>
        </w:rPr>
        <w:t xml:space="preserve">NOTE:  DFA reserves the right to adjust this schedule, as it deems necessary. </w:t>
      </w:r>
      <w:r w:rsidRPr="00EC203B">
        <w:rPr>
          <w:b/>
        </w:rPr>
        <w:tab/>
      </w:r>
    </w:p>
    <w:p w14:paraId="28CE51BD" w14:textId="77777777" w:rsidR="00007A03" w:rsidRPr="00007A03" w:rsidRDefault="00007A03" w:rsidP="00E32100">
      <w:pPr>
        <w:jc w:val="both"/>
      </w:pPr>
    </w:p>
    <w:tbl>
      <w:tblPr>
        <w:tblW w:w="10075" w:type="dxa"/>
        <w:jc w:val="center"/>
        <w:tblLayout w:type="fixed"/>
        <w:tblCellMar>
          <w:left w:w="0" w:type="dxa"/>
          <w:right w:w="0" w:type="dxa"/>
        </w:tblCellMar>
        <w:tblLook w:val="0000" w:firstRow="0" w:lastRow="0" w:firstColumn="0" w:lastColumn="0" w:noHBand="0" w:noVBand="0"/>
      </w:tblPr>
      <w:tblGrid>
        <w:gridCol w:w="3685"/>
        <w:gridCol w:w="6390"/>
      </w:tblGrid>
      <w:tr w:rsidR="00CA137E" w:rsidRPr="004107C2" w14:paraId="6FB48DCC" w14:textId="77777777" w:rsidTr="001F5846">
        <w:trPr>
          <w:cantSplit/>
          <w:trHeight w:val="377"/>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E22813A" w14:textId="172E03FF" w:rsidR="00CA137E" w:rsidRPr="00015B80" w:rsidRDefault="00403784" w:rsidP="00F26F99">
            <w:pPr>
              <w:ind w:left="115"/>
              <w:rPr>
                <w:b/>
                <w:spacing w:val="1"/>
              </w:rPr>
            </w:pPr>
            <w:r w:rsidRPr="00015B80">
              <w:rPr>
                <w:b/>
                <w:spacing w:val="1"/>
              </w:rPr>
              <w:t>March 13</w:t>
            </w:r>
            <w:r w:rsidR="00317CF7" w:rsidRPr="00015B80">
              <w:rPr>
                <w:b/>
                <w:spacing w:val="1"/>
              </w:rPr>
              <w:t>, 2019</w:t>
            </w:r>
            <w:r w:rsidR="00CA137E" w:rsidRPr="00015B80">
              <w:rPr>
                <w:b/>
                <w:spacing w:val="1"/>
              </w:rPr>
              <w:t xml:space="preserve"> </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5CC43F12" w14:textId="269A5B9E" w:rsidR="00CA137E" w:rsidRPr="002E3924" w:rsidRDefault="00CA137E" w:rsidP="00CA137E">
            <w:pPr>
              <w:ind w:left="90"/>
              <w:jc w:val="both"/>
              <w:rPr>
                <w:spacing w:val="4"/>
              </w:rPr>
            </w:pPr>
            <w:r w:rsidRPr="002E3924">
              <w:rPr>
                <w:spacing w:val="4"/>
              </w:rPr>
              <w:t>RFP Released</w:t>
            </w:r>
          </w:p>
        </w:tc>
      </w:tr>
      <w:tr w:rsidR="00CA137E" w:rsidRPr="004107C2" w14:paraId="0FB162E5" w14:textId="77777777" w:rsidTr="001F5846">
        <w:trPr>
          <w:cantSplit/>
          <w:trHeight w:val="287"/>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7CB0B967" w14:textId="5BC20E69" w:rsidR="00CA137E" w:rsidRPr="00015B80" w:rsidRDefault="00403784" w:rsidP="00D366E6">
            <w:pPr>
              <w:ind w:left="115"/>
              <w:jc w:val="both"/>
              <w:rPr>
                <w:b/>
                <w:spacing w:val="2"/>
              </w:rPr>
            </w:pPr>
            <w:r w:rsidRPr="00015B80">
              <w:rPr>
                <w:b/>
                <w:spacing w:val="2"/>
              </w:rPr>
              <w:t>March 2</w:t>
            </w:r>
            <w:r w:rsidR="00CF77FF" w:rsidRPr="00015B80">
              <w:rPr>
                <w:b/>
                <w:spacing w:val="2"/>
              </w:rPr>
              <w:t>6</w:t>
            </w:r>
            <w:r w:rsidR="00317CF7" w:rsidRPr="00015B80">
              <w:rPr>
                <w:b/>
                <w:spacing w:val="2"/>
              </w:rPr>
              <w:t>, 2019</w:t>
            </w:r>
            <w:r w:rsidR="00D366E6">
              <w:rPr>
                <w:b/>
                <w:spacing w:val="2"/>
              </w:rPr>
              <w:t xml:space="preserve"> </w:t>
            </w:r>
            <w:r w:rsidR="009E5C76" w:rsidRPr="00015B80">
              <w:rPr>
                <w:b/>
                <w:spacing w:val="2"/>
                <w:u w:val="single"/>
              </w:rPr>
              <w:t>by 2:00 pm CDT</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22C58CA5" w14:textId="0875A57F" w:rsidR="00CA137E" w:rsidRPr="002E3924" w:rsidRDefault="00CA137E" w:rsidP="00CA137E">
            <w:pPr>
              <w:ind w:left="90"/>
              <w:jc w:val="both"/>
              <w:rPr>
                <w:spacing w:val="4"/>
              </w:rPr>
            </w:pPr>
            <w:r w:rsidRPr="002E3924">
              <w:rPr>
                <w:spacing w:val="4"/>
              </w:rPr>
              <w:t>Intent to Propose/Questions due at DFA-Office of Insurance</w:t>
            </w:r>
          </w:p>
        </w:tc>
      </w:tr>
      <w:tr w:rsidR="00CA137E" w:rsidRPr="004107C2" w14:paraId="0E8AC7A2" w14:textId="77777777" w:rsidTr="001F5846">
        <w:trPr>
          <w:cantSplit/>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32BB393" w14:textId="5C6153DF" w:rsidR="00CA137E" w:rsidRPr="00015B80" w:rsidRDefault="00403784" w:rsidP="00570BD9">
            <w:pPr>
              <w:ind w:left="115"/>
              <w:jc w:val="both"/>
              <w:rPr>
                <w:b/>
                <w:spacing w:val="2"/>
              </w:rPr>
            </w:pPr>
            <w:r w:rsidRPr="00015B80">
              <w:rPr>
                <w:b/>
                <w:spacing w:val="2"/>
              </w:rPr>
              <w:t>March 29</w:t>
            </w:r>
            <w:r w:rsidR="00317CF7" w:rsidRPr="00015B80">
              <w:rPr>
                <w:b/>
                <w:spacing w:val="2"/>
              </w:rPr>
              <w:t>, 2019</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5E94D3B6" w14:textId="622DCEAC" w:rsidR="00CA137E" w:rsidRPr="002E3924" w:rsidRDefault="00DD593B" w:rsidP="00DD593B">
            <w:pPr>
              <w:ind w:left="90"/>
              <w:jc w:val="both"/>
              <w:rPr>
                <w:spacing w:val="4"/>
              </w:rPr>
            </w:pPr>
            <w:r>
              <w:rPr>
                <w:spacing w:val="4"/>
              </w:rPr>
              <w:t>DFA</w:t>
            </w:r>
            <w:r w:rsidR="00CA137E" w:rsidRPr="002E3924">
              <w:rPr>
                <w:spacing w:val="4"/>
              </w:rPr>
              <w:t xml:space="preserve"> Responses to Vendor Questions </w:t>
            </w:r>
            <w:r w:rsidR="00CA137E">
              <w:rPr>
                <w:spacing w:val="4"/>
              </w:rPr>
              <w:t xml:space="preserve">to be posted </w:t>
            </w:r>
          </w:p>
        </w:tc>
      </w:tr>
      <w:tr w:rsidR="00CA137E" w:rsidRPr="004107C2" w14:paraId="1FF0585D" w14:textId="77777777" w:rsidTr="001F5846">
        <w:trPr>
          <w:cantSplit/>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D195582" w14:textId="10C0F36F" w:rsidR="00CA137E" w:rsidRPr="00015B80" w:rsidRDefault="00403784" w:rsidP="00D366E6">
            <w:pPr>
              <w:ind w:left="115"/>
              <w:jc w:val="both"/>
              <w:rPr>
                <w:b/>
                <w:spacing w:val="2"/>
              </w:rPr>
            </w:pPr>
            <w:r w:rsidRPr="00015B80">
              <w:rPr>
                <w:b/>
                <w:spacing w:val="2"/>
              </w:rPr>
              <w:t>April 1</w:t>
            </w:r>
            <w:r w:rsidR="00CF77FF" w:rsidRPr="00015B80">
              <w:rPr>
                <w:b/>
                <w:spacing w:val="2"/>
              </w:rPr>
              <w:t>2</w:t>
            </w:r>
            <w:r w:rsidR="00317CF7" w:rsidRPr="00015B80">
              <w:rPr>
                <w:b/>
                <w:spacing w:val="2"/>
              </w:rPr>
              <w:t>, 2019</w:t>
            </w:r>
            <w:r w:rsidR="00D366E6">
              <w:rPr>
                <w:b/>
                <w:spacing w:val="2"/>
              </w:rPr>
              <w:t xml:space="preserve"> </w:t>
            </w:r>
            <w:r w:rsidR="001961C9" w:rsidRPr="00015B80">
              <w:rPr>
                <w:b/>
                <w:spacing w:val="2"/>
                <w:u w:val="single"/>
              </w:rPr>
              <w:t>by 2:00 pm CDT</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4FF25D41" w14:textId="16927B68" w:rsidR="00CA137E" w:rsidRPr="002E3924" w:rsidRDefault="00CA137E" w:rsidP="00CA137E">
            <w:pPr>
              <w:ind w:left="90"/>
              <w:jc w:val="both"/>
              <w:rPr>
                <w:spacing w:val="4"/>
              </w:rPr>
            </w:pPr>
            <w:r w:rsidRPr="002E3924">
              <w:rPr>
                <w:spacing w:val="4"/>
              </w:rPr>
              <w:t>Proposals Due at DFA-Office of Insurance</w:t>
            </w:r>
          </w:p>
        </w:tc>
      </w:tr>
      <w:tr w:rsidR="00CA137E" w:rsidRPr="004107C2" w14:paraId="4CA3E7F7" w14:textId="77777777" w:rsidTr="001F5846">
        <w:trPr>
          <w:cantSplit/>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27AA1C7" w14:textId="01ED1586" w:rsidR="00CA137E" w:rsidRPr="00015B80" w:rsidRDefault="00403784" w:rsidP="00CF77FF">
            <w:pPr>
              <w:ind w:left="115"/>
              <w:jc w:val="both"/>
              <w:rPr>
                <w:b/>
                <w:spacing w:val="2"/>
              </w:rPr>
            </w:pPr>
            <w:r w:rsidRPr="00015B80">
              <w:rPr>
                <w:b/>
                <w:spacing w:val="2"/>
              </w:rPr>
              <w:t xml:space="preserve">April </w:t>
            </w:r>
            <w:r w:rsidR="00CF77FF" w:rsidRPr="00015B80">
              <w:rPr>
                <w:b/>
                <w:spacing w:val="2"/>
              </w:rPr>
              <w:t>19</w:t>
            </w:r>
            <w:r w:rsidR="00317CF7" w:rsidRPr="00015B80">
              <w:rPr>
                <w:b/>
                <w:spacing w:val="2"/>
              </w:rPr>
              <w:t>, 2019</w:t>
            </w:r>
            <w:r w:rsidR="00CA137E" w:rsidRPr="00015B80">
              <w:rPr>
                <w:b/>
                <w:spacing w:val="2"/>
              </w:rPr>
              <w:t xml:space="preserve"> </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159D3FC3" w14:textId="4C82F0F0" w:rsidR="00CA137E" w:rsidRPr="002E3924" w:rsidRDefault="00CA137E" w:rsidP="00CA137E">
            <w:pPr>
              <w:ind w:left="90"/>
              <w:jc w:val="both"/>
              <w:rPr>
                <w:spacing w:val="4"/>
              </w:rPr>
            </w:pPr>
            <w:r w:rsidRPr="002E3924">
              <w:rPr>
                <w:spacing w:val="4"/>
              </w:rPr>
              <w:t>Finalists Selected</w:t>
            </w:r>
          </w:p>
        </w:tc>
      </w:tr>
      <w:tr w:rsidR="00CA137E" w:rsidRPr="004107C2" w14:paraId="382DA2E5" w14:textId="77777777" w:rsidTr="001F5846">
        <w:trPr>
          <w:cantSplit/>
          <w:trHeight w:val="85"/>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706DD8D" w14:textId="39B17423" w:rsidR="00CA137E" w:rsidRPr="00015B80" w:rsidRDefault="009E5C76" w:rsidP="00CF77FF">
            <w:pPr>
              <w:ind w:left="115"/>
              <w:jc w:val="both"/>
              <w:rPr>
                <w:b/>
                <w:spacing w:val="2"/>
              </w:rPr>
            </w:pPr>
            <w:r w:rsidRPr="00015B80">
              <w:rPr>
                <w:b/>
                <w:spacing w:val="2"/>
              </w:rPr>
              <w:t xml:space="preserve">Week of </w:t>
            </w:r>
            <w:r w:rsidR="00403784" w:rsidRPr="00015B80">
              <w:rPr>
                <w:b/>
                <w:spacing w:val="2"/>
              </w:rPr>
              <w:t xml:space="preserve">April </w:t>
            </w:r>
            <w:r w:rsidR="00CF77FF" w:rsidRPr="00015B80">
              <w:rPr>
                <w:b/>
                <w:spacing w:val="2"/>
              </w:rPr>
              <w:t>22</w:t>
            </w:r>
            <w:r w:rsidR="00317CF7" w:rsidRPr="00015B80">
              <w:rPr>
                <w:b/>
                <w:spacing w:val="2"/>
              </w:rPr>
              <w:t>, 2019</w:t>
            </w:r>
            <w:r w:rsidR="00CA137E" w:rsidRPr="00015B80">
              <w:rPr>
                <w:b/>
                <w:spacing w:val="2"/>
              </w:rPr>
              <w:t xml:space="preserve">  </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6D6E367F" w14:textId="099D31E8" w:rsidR="00CA137E" w:rsidRPr="002E3924" w:rsidRDefault="00CA137E" w:rsidP="00CA137E">
            <w:pPr>
              <w:ind w:left="90"/>
              <w:jc w:val="both"/>
              <w:rPr>
                <w:spacing w:val="4"/>
              </w:rPr>
            </w:pPr>
            <w:r w:rsidRPr="002E3924">
              <w:rPr>
                <w:spacing w:val="4"/>
              </w:rPr>
              <w:t>Presentations by Finalists</w:t>
            </w:r>
            <w:r>
              <w:rPr>
                <w:spacing w:val="4"/>
              </w:rPr>
              <w:t>*</w:t>
            </w:r>
            <w:r w:rsidRPr="002E3924">
              <w:rPr>
                <w:spacing w:val="4"/>
              </w:rPr>
              <w:t xml:space="preserve"> </w:t>
            </w:r>
          </w:p>
        </w:tc>
      </w:tr>
      <w:tr w:rsidR="00CA137E" w:rsidRPr="004107C2" w14:paraId="294DB28B" w14:textId="77777777" w:rsidTr="001F5846">
        <w:trPr>
          <w:cantSplit/>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C4BB9F4" w14:textId="77F7094A" w:rsidR="00CA137E" w:rsidRPr="00015B80" w:rsidRDefault="00403784" w:rsidP="00CF77FF">
            <w:pPr>
              <w:ind w:left="115"/>
              <w:jc w:val="both"/>
              <w:rPr>
                <w:b/>
                <w:spacing w:val="2"/>
              </w:rPr>
            </w:pPr>
            <w:r w:rsidRPr="00015B80">
              <w:rPr>
                <w:b/>
                <w:spacing w:val="2"/>
              </w:rPr>
              <w:t xml:space="preserve">May </w:t>
            </w:r>
            <w:r w:rsidR="00CF77FF" w:rsidRPr="00015B80">
              <w:rPr>
                <w:b/>
                <w:spacing w:val="2"/>
              </w:rPr>
              <w:t>1</w:t>
            </w:r>
            <w:r w:rsidR="00317CF7" w:rsidRPr="00015B80">
              <w:rPr>
                <w:b/>
                <w:spacing w:val="2"/>
              </w:rPr>
              <w:t>, 2019</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1029A939" w14:textId="6E4E8DB3" w:rsidR="00CA137E" w:rsidRPr="002E3924" w:rsidRDefault="00570BD9" w:rsidP="00CA137E">
            <w:pPr>
              <w:ind w:left="90"/>
              <w:jc w:val="both"/>
              <w:rPr>
                <w:spacing w:val="4"/>
              </w:rPr>
            </w:pPr>
            <w:r>
              <w:rPr>
                <w:spacing w:val="4"/>
              </w:rPr>
              <w:t xml:space="preserve">Actuary Selected </w:t>
            </w:r>
            <w:r w:rsidR="00CA137E">
              <w:rPr>
                <w:spacing w:val="4"/>
              </w:rPr>
              <w:t xml:space="preserve"> </w:t>
            </w:r>
          </w:p>
        </w:tc>
      </w:tr>
      <w:tr w:rsidR="00CA137E" w:rsidRPr="004107C2" w14:paraId="24075D16" w14:textId="77777777" w:rsidTr="001F5846">
        <w:trPr>
          <w:cantSplit/>
          <w:jc w:val="center"/>
        </w:trPr>
        <w:tc>
          <w:tcPr>
            <w:tcW w:w="3685" w:type="dxa"/>
            <w:tcBorders>
              <w:top w:val="single" w:sz="4" w:space="0" w:color="auto"/>
              <w:left w:val="single" w:sz="4" w:space="0" w:color="auto"/>
              <w:bottom w:val="single" w:sz="4" w:space="0" w:color="auto"/>
              <w:right w:val="single" w:sz="4" w:space="0" w:color="auto"/>
            </w:tcBorders>
            <w:vAlign w:val="center"/>
          </w:tcPr>
          <w:p w14:paraId="24C7593C" w14:textId="2207EEF9" w:rsidR="00CA137E" w:rsidRPr="00015B80" w:rsidRDefault="00403784" w:rsidP="00CF77FF">
            <w:pPr>
              <w:ind w:left="115"/>
              <w:jc w:val="both"/>
              <w:rPr>
                <w:b/>
                <w:spacing w:val="2"/>
              </w:rPr>
            </w:pPr>
            <w:r w:rsidRPr="00015B80">
              <w:rPr>
                <w:b/>
                <w:spacing w:val="2"/>
              </w:rPr>
              <w:t xml:space="preserve">May </w:t>
            </w:r>
            <w:r w:rsidR="00CF77FF" w:rsidRPr="00015B80">
              <w:rPr>
                <w:b/>
                <w:spacing w:val="2"/>
              </w:rPr>
              <w:t>1</w:t>
            </w:r>
            <w:r w:rsidRPr="00015B80">
              <w:rPr>
                <w:b/>
                <w:spacing w:val="2"/>
              </w:rPr>
              <w:t>0</w:t>
            </w:r>
            <w:r w:rsidR="00CA137E" w:rsidRPr="00015B80">
              <w:rPr>
                <w:b/>
                <w:spacing w:val="2"/>
              </w:rPr>
              <w:t>, 2019</w:t>
            </w:r>
          </w:p>
        </w:tc>
        <w:tc>
          <w:tcPr>
            <w:tcW w:w="6390" w:type="dxa"/>
            <w:tcBorders>
              <w:top w:val="single" w:sz="4" w:space="0" w:color="auto"/>
              <w:left w:val="single" w:sz="4" w:space="0" w:color="auto"/>
              <w:bottom w:val="single" w:sz="4" w:space="0" w:color="auto"/>
              <w:right w:val="single" w:sz="4" w:space="0" w:color="auto"/>
            </w:tcBorders>
            <w:vAlign w:val="center"/>
          </w:tcPr>
          <w:p w14:paraId="0EB72B5E" w14:textId="3B6A38CB" w:rsidR="00CA137E" w:rsidRPr="002E3924" w:rsidRDefault="008E6992" w:rsidP="00CA137E">
            <w:pPr>
              <w:ind w:left="90"/>
              <w:jc w:val="both"/>
              <w:rPr>
                <w:spacing w:val="4"/>
              </w:rPr>
            </w:pPr>
            <w:r>
              <w:rPr>
                <w:spacing w:val="4"/>
              </w:rPr>
              <w:t xml:space="preserve">Contract </w:t>
            </w:r>
            <w:r w:rsidR="00CA137E" w:rsidRPr="002E3924">
              <w:rPr>
                <w:spacing w:val="4"/>
              </w:rPr>
              <w:t>Effective Date</w:t>
            </w:r>
          </w:p>
        </w:tc>
      </w:tr>
    </w:tbl>
    <w:p w14:paraId="0B5B21EC" w14:textId="55513844" w:rsidR="00BB0641" w:rsidRDefault="0093422C" w:rsidP="00BB0641">
      <w:pPr>
        <w:jc w:val="both"/>
      </w:pPr>
      <w:r>
        <w:t xml:space="preserve">   </w:t>
      </w:r>
      <w:r w:rsidR="00505281">
        <w:t>*</w:t>
      </w:r>
      <w:r w:rsidR="006564C1" w:rsidRPr="00914A1B">
        <w:t>DFA</w:t>
      </w:r>
      <w:r w:rsidR="00007A03">
        <w:t xml:space="preserve"> anticipates proposers selected as finalists </w:t>
      </w:r>
      <w:r w:rsidR="00A751B5">
        <w:t>will</w:t>
      </w:r>
      <w:r w:rsidR="00007A03">
        <w:t xml:space="preserve"> make presentations in Jackson, </w:t>
      </w:r>
      <w:r w:rsidR="00007A03" w:rsidRPr="004107C2">
        <w:t>Mississippi.</w:t>
      </w:r>
    </w:p>
    <w:p w14:paraId="4B22B37B" w14:textId="4E8A8E47" w:rsidR="001F5846" w:rsidRPr="001F5846" w:rsidRDefault="00007A03" w:rsidP="0093422C">
      <w:pPr>
        <w:ind w:left="90" w:hanging="90"/>
        <w:jc w:val="both"/>
        <w:rPr>
          <w:b/>
          <w:bCs/>
          <w:i/>
          <w:szCs w:val="22"/>
        </w:rPr>
      </w:pPr>
      <w:r w:rsidRPr="004107C2">
        <w:t xml:space="preserve"> </w:t>
      </w:r>
      <w:r w:rsidR="008E6992" w:rsidRPr="001F5846">
        <w:t xml:space="preserve">DFA shall not be responsible for any expenses incurred by the proposer for </w:t>
      </w:r>
      <w:r w:rsidRPr="001F5846">
        <w:t>such presentation</w:t>
      </w:r>
      <w:r w:rsidR="008E6992" w:rsidRPr="001F5846">
        <w:t>.</w:t>
      </w:r>
      <w:r w:rsidRPr="001F5846">
        <w:t xml:space="preserve"> Due to the constraints of the RFP timeline and the relative importance of presentations in the evaluation process, interested vendors are encouraged to be prepared to accommodate this schedule.</w:t>
      </w:r>
      <w:r w:rsidR="001F5846" w:rsidRPr="001F5846">
        <w:t xml:space="preserve">  </w:t>
      </w:r>
    </w:p>
    <w:p w14:paraId="6CB78AA5" w14:textId="66078FC0" w:rsidR="00007A03" w:rsidRPr="001F5846" w:rsidRDefault="00007A03" w:rsidP="001F5846">
      <w:pPr>
        <w:jc w:val="both"/>
      </w:pPr>
    </w:p>
    <w:p w14:paraId="62BF7C03" w14:textId="77777777" w:rsidR="00D1375F" w:rsidRDefault="00F01679" w:rsidP="00317CF7">
      <w:pPr>
        <w:pStyle w:val="Heading2"/>
        <w:numPr>
          <w:ilvl w:val="1"/>
          <w:numId w:val="1"/>
        </w:numPr>
        <w:ind w:left="418" w:hanging="418"/>
        <w:jc w:val="both"/>
        <w:rPr>
          <w:sz w:val="24"/>
        </w:rPr>
      </w:pPr>
      <w:bookmarkStart w:id="7" w:name="_Toc3360006"/>
      <w:r w:rsidRPr="00D1375F">
        <w:rPr>
          <w:sz w:val="24"/>
        </w:rPr>
        <w:t>Intent to Propose</w:t>
      </w:r>
      <w:bookmarkEnd w:id="7"/>
      <w:r w:rsidR="00D1375F" w:rsidRPr="00D1375F">
        <w:rPr>
          <w:sz w:val="24"/>
        </w:rPr>
        <w:t xml:space="preserve"> </w:t>
      </w:r>
    </w:p>
    <w:p w14:paraId="67057C85" w14:textId="0B0545D9" w:rsidR="00E32100" w:rsidRPr="001A5E18" w:rsidRDefault="00E32100" w:rsidP="00317CF7">
      <w:pPr>
        <w:jc w:val="both"/>
      </w:pPr>
      <w:r w:rsidRPr="0011291F">
        <w:t>All potential proposers are requested</w:t>
      </w:r>
      <w:r w:rsidR="00015B80">
        <w:t>,</w:t>
      </w:r>
      <w:r w:rsidRPr="0011291F">
        <w:t xml:space="preserve"> </w:t>
      </w:r>
      <w:r w:rsidR="00015B80">
        <w:t xml:space="preserve">but not required, </w:t>
      </w:r>
      <w:r w:rsidRPr="0011291F">
        <w:t>to submit their</w:t>
      </w:r>
      <w:r>
        <w:t xml:space="preserve"> </w:t>
      </w:r>
      <w:r w:rsidRPr="0011291F">
        <w:t xml:space="preserve">Intent to </w:t>
      </w:r>
      <w:proofErr w:type="gramStart"/>
      <w:r w:rsidRPr="0011291F">
        <w:t>Propose</w:t>
      </w:r>
      <w:proofErr w:type="gramEnd"/>
      <w:r w:rsidRPr="0011291F">
        <w:t xml:space="preserve"> no later than </w:t>
      </w:r>
      <w:r w:rsidR="00403784" w:rsidRPr="00015B80">
        <w:t>March 2</w:t>
      </w:r>
      <w:r w:rsidR="00CF77FF" w:rsidRPr="00015B80">
        <w:t>6</w:t>
      </w:r>
      <w:r w:rsidR="00317CF7" w:rsidRPr="00015B80">
        <w:t>, 2019</w:t>
      </w:r>
      <w:r w:rsidRPr="001A5E18">
        <w:t xml:space="preserve"> by 2:00 </w:t>
      </w:r>
      <w:r w:rsidRPr="00570BD9">
        <w:t>PM CDT. Notice</w:t>
      </w:r>
      <w:r w:rsidRPr="001A5E18">
        <w:t xml:space="preserve"> may be submitted via email to </w:t>
      </w:r>
      <w:hyperlink r:id="rId14" w:history="1">
        <w:r w:rsidRPr="001A5E18">
          <w:rPr>
            <w:rStyle w:val="Hyperlink"/>
          </w:rPr>
          <w:t>InsuranceRFP@dfa.ms.gov</w:t>
        </w:r>
      </w:hyperlink>
      <w:r w:rsidRPr="001A5E18">
        <w:t xml:space="preserve">. The Intent to Propose should indicate your </w:t>
      </w:r>
      <w:r w:rsidR="00B27EDB">
        <w:t>firm</w:t>
      </w:r>
      <w:r w:rsidRPr="001A5E18">
        <w:t xml:space="preserve">’s primary contact, direct telephone number, and e-mail address. The submission of an Intent to Propose does not obligate your </w:t>
      </w:r>
      <w:r w:rsidR="00DE6707">
        <w:t>firm</w:t>
      </w:r>
      <w:r w:rsidRPr="001A5E18">
        <w:t xml:space="preserve"> to submit a proposal. Likewise, potential proposers are encouraged, but not required, to submit an Intent to Propose.</w:t>
      </w:r>
    </w:p>
    <w:p w14:paraId="5886D6B4" w14:textId="77777777" w:rsidR="00BE764A" w:rsidRPr="001A5E18" w:rsidRDefault="00BE764A" w:rsidP="00317CF7">
      <w:pPr>
        <w:jc w:val="both"/>
      </w:pPr>
    </w:p>
    <w:p w14:paraId="47E78FCE" w14:textId="77777777" w:rsidR="00D1375F" w:rsidRPr="001A5E18" w:rsidRDefault="00F01679" w:rsidP="00317CF7">
      <w:pPr>
        <w:pStyle w:val="Heading2"/>
        <w:numPr>
          <w:ilvl w:val="1"/>
          <w:numId w:val="1"/>
        </w:numPr>
        <w:ind w:left="418" w:hanging="418"/>
        <w:jc w:val="both"/>
        <w:rPr>
          <w:sz w:val="24"/>
        </w:rPr>
      </w:pPr>
      <w:bookmarkStart w:id="8" w:name="_Toc3360007"/>
      <w:r w:rsidRPr="001A5E18">
        <w:rPr>
          <w:sz w:val="24"/>
        </w:rPr>
        <w:t>Questions and Acknowledgment of Responses</w:t>
      </w:r>
      <w:bookmarkEnd w:id="8"/>
      <w:r w:rsidR="00D1375F" w:rsidRPr="001A5E18">
        <w:rPr>
          <w:sz w:val="24"/>
        </w:rPr>
        <w:t xml:space="preserve"> </w:t>
      </w:r>
    </w:p>
    <w:p w14:paraId="11FDE299" w14:textId="69348A13" w:rsidR="00505281" w:rsidRDefault="00505281" w:rsidP="00317CF7">
      <w:pPr>
        <w:jc w:val="both"/>
      </w:pPr>
      <w:r>
        <w:t>Questions from potential proposers</w:t>
      </w:r>
      <w:r w:rsidRPr="004107C2">
        <w:t xml:space="preserve"> must be submitted in writing via </w:t>
      </w:r>
      <w:r w:rsidRPr="002E3924">
        <w:t>email</w:t>
      </w:r>
      <w:r w:rsidRPr="0011291F">
        <w:t xml:space="preserve"> to </w:t>
      </w:r>
      <w:hyperlink r:id="rId15" w:history="1">
        <w:r w:rsidRPr="00F3230C">
          <w:rPr>
            <w:rStyle w:val="Hyperlink"/>
          </w:rPr>
          <w:t>InsuranceRFP@dfa.ms.gov</w:t>
        </w:r>
      </w:hyperlink>
      <w:r w:rsidRPr="004107C2">
        <w:t xml:space="preserve"> and must be received no later than </w:t>
      </w:r>
      <w:r w:rsidRPr="002E3924">
        <w:t xml:space="preserve">2:00 </w:t>
      </w:r>
      <w:r w:rsidRPr="00570BD9">
        <w:t xml:space="preserve">PM CDT, </w:t>
      </w:r>
      <w:r w:rsidR="00403784" w:rsidRPr="00015B80">
        <w:t>March 2</w:t>
      </w:r>
      <w:r w:rsidR="00CF77FF" w:rsidRPr="00015B80">
        <w:t>6</w:t>
      </w:r>
      <w:r w:rsidR="00317CF7" w:rsidRPr="00015B80">
        <w:t>, 2019</w:t>
      </w:r>
      <w:r w:rsidRPr="00015B80">
        <w:t xml:space="preserve">, to ensure a response by the </w:t>
      </w:r>
      <w:r w:rsidR="00403784" w:rsidRPr="00015B80">
        <w:t>March 29</w:t>
      </w:r>
      <w:r w:rsidR="00317CF7" w:rsidRPr="00015B80">
        <w:t>, 2019</w:t>
      </w:r>
      <w:r w:rsidRPr="00015B80">
        <w:t xml:space="preserve"> deadline.  Responses to questions will be made available on DFA’s website under the heading “Bid and RFP Notices” at </w:t>
      </w:r>
      <w:hyperlink r:id="rId16" w:history="1">
        <w:r w:rsidRPr="00015B80">
          <w:rPr>
            <w:rStyle w:val="Hyperlink"/>
          </w:rPr>
          <w:t>http://www.dfa.ms.gov/bid-rfp-notices/</w:t>
        </w:r>
      </w:hyperlink>
      <w:r w:rsidRPr="00015B80">
        <w:t xml:space="preserve"> as an amendment to the RFP on </w:t>
      </w:r>
      <w:r w:rsidR="00403784" w:rsidRPr="00015B80">
        <w:t>March 29</w:t>
      </w:r>
      <w:r w:rsidR="00317CF7" w:rsidRPr="00015B80">
        <w:t>, 2019</w:t>
      </w:r>
      <w:r w:rsidRPr="00015B80">
        <w:t xml:space="preserve">.  Questions received after </w:t>
      </w:r>
      <w:r w:rsidR="00403784" w:rsidRPr="00015B80">
        <w:t>March 2</w:t>
      </w:r>
      <w:r w:rsidR="00CF77FF" w:rsidRPr="00015B80">
        <w:t>6</w:t>
      </w:r>
      <w:r w:rsidR="00317CF7" w:rsidRPr="00015B80">
        <w:t>, 2019</w:t>
      </w:r>
      <w:r w:rsidRPr="00015B80">
        <w:t>,</w:t>
      </w:r>
      <w:r>
        <w:t xml:space="preserve"> may be considered for response at the </w:t>
      </w:r>
      <w:r w:rsidR="006564C1" w:rsidRPr="00914A1B">
        <w:t>DFA</w:t>
      </w:r>
      <w:r>
        <w:t xml:space="preserve">’s discretion, although there is no guarantee as to if or when the </w:t>
      </w:r>
      <w:r w:rsidR="006564C1" w:rsidRPr="00914A1B">
        <w:t>DFA</w:t>
      </w:r>
      <w:r>
        <w:t xml:space="preserve"> will respond</w:t>
      </w:r>
      <w:r w:rsidRPr="004107C2">
        <w:t xml:space="preserve">. </w:t>
      </w:r>
      <w:r>
        <w:t>I</w:t>
      </w:r>
      <w:r w:rsidRPr="004107C2">
        <w:t xml:space="preserve">t is the proposer’s sole responsibility to </w:t>
      </w:r>
      <w:r>
        <w:t xml:space="preserve">regularly </w:t>
      </w:r>
      <w:r w:rsidRPr="004107C2">
        <w:t>monitor the website for</w:t>
      </w:r>
      <w:r>
        <w:t xml:space="preserve"> amendments and/or announcements concerning this RFP.</w:t>
      </w:r>
    </w:p>
    <w:p w14:paraId="13A94747" w14:textId="77777777" w:rsidR="00E32100" w:rsidRPr="00E32100" w:rsidRDefault="00E32100" w:rsidP="00317CF7">
      <w:pPr>
        <w:jc w:val="both"/>
        <w:rPr>
          <w:i/>
        </w:rPr>
      </w:pPr>
    </w:p>
    <w:p w14:paraId="2C8CE413" w14:textId="77777777" w:rsidR="00D1375F" w:rsidRDefault="00F01679" w:rsidP="00317CF7">
      <w:pPr>
        <w:pStyle w:val="Heading2"/>
        <w:numPr>
          <w:ilvl w:val="1"/>
          <w:numId w:val="1"/>
        </w:numPr>
        <w:ind w:left="418" w:hanging="418"/>
        <w:jc w:val="both"/>
        <w:rPr>
          <w:sz w:val="24"/>
        </w:rPr>
      </w:pPr>
      <w:bookmarkStart w:id="9" w:name="_Toc3360008"/>
      <w:r w:rsidRPr="00D1375F">
        <w:rPr>
          <w:sz w:val="24"/>
        </w:rPr>
        <w:t>Statement of Compliance Requirement</w:t>
      </w:r>
      <w:bookmarkEnd w:id="9"/>
      <w:r w:rsidR="00D1375F" w:rsidRPr="00D1375F">
        <w:rPr>
          <w:sz w:val="24"/>
        </w:rPr>
        <w:t xml:space="preserve"> </w:t>
      </w:r>
    </w:p>
    <w:p w14:paraId="0377C451" w14:textId="38DD7CDD" w:rsidR="009E5C76" w:rsidRPr="001B28B2" w:rsidRDefault="00E32100" w:rsidP="00317CF7">
      <w:pPr>
        <w:jc w:val="both"/>
      </w:pPr>
      <w:r w:rsidRPr="004107C2">
        <w:t xml:space="preserve">Please carefully review the information located </w:t>
      </w:r>
      <w:r w:rsidRPr="009F6D1A">
        <w:t>in</w:t>
      </w:r>
      <w:r w:rsidRPr="009F6D1A">
        <w:rPr>
          <w:i/>
        </w:rPr>
        <w:t xml:space="preserve"> </w:t>
      </w:r>
      <w:r w:rsidR="00794EFF" w:rsidRPr="009F6D1A">
        <w:rPr>
          <w:b/>
          <w:i/>
        </w:rPr>
        <w:t xml:space="preserve">Section </w:t>
      </w:r>
      <w:r w:rsidR="009F6D1A" w:rsidRPr="009F6D1A">
        <w:rPr>
          <w:b/>
          <w:i/>
        </w:rPr>
        <w:t>8</w:t>
      </w:r>
      <w:r w:rsidR="00794EFF" w:rsidRPr="00794EFF">
        <w:rPr>
          <w:b/>
          <w:i/>
        </w:rPr>
        <w:t xml:space="preserve"> – Statement</w:t>
      </w:r>
      <w:r w:rsidR="00794EFF">
        <w:rPr>
          <w:i/>
        </w:rPr>
        <w:t xml:space="preserve"> </w:t>
      </w:r>
      <w:r w:rsidRPr="00E32100">
        <w:rPr>
          <w:b/>
          <w:i/>
        </w:rPr>
        <w:t xml:space="preserve">of Compliance </w:t>
      </w:r>
      <w:r w:rsidRPr="004107C2">
        <w:t xml:space="preserve">and </w:t>
      </w:r>
      <w:r w:rsidRPr="00A84936">
        <w:t xml:space="preserve">include a copy </w:t>
      </w:r>
      <w:r w:rsidRPr="00E32100">
        <w:rPr>
          <w:b/>
          <w:u w:val="single"/>
        </w:rPr>
        <w:t>signed by an officer, principal, or owner</w:t>
      </w:r>
      <w:r w:rsidRPr="00A84936">
        <w:t xml:space="preserve"> of </w:t>
      </w:r>
      <w:r w:rsidR="001B28B2">
        <w:t>your firm</w:t>
      </w:r>
      <w:r w:rsidRPr="00A84936">
        <w:t xml:space="preserve"> with your completed proposal.</w:t>
      </w:r>
      <w:r w:rsidRPr="004107C2">
        <w:t xml:space="preserve"> Failure to submit a signed Statement of Compliance may result in your proposal being eliminated from further consideration. </w:t>
      </w:r>
      <w:r w:rsidR="009E5C76" w:rsidRPr="005B71B5">
        <w:t xml:space="preserve">If you object to any of the terms and conditions included in the draft Actuarial Consulting Services Contract (see </w:t>
      </w:r>
      <w:r w:rsidR="00BD1E08">
        <w:t>Appendix A</w:t>
      </w:r>
      <w:r w:rsidR="009E5C76" w:rsidRPr="005B71B5">
        <w:t>), or any requirements listed in this RFP, please note and explain your objections on the Statement of Compliance.</w:t>
      </w:r>
      <w:r w:rsidR="009E5C76" w:rsidRPr="00E32100">
        <w:rPr>
          <w:b/>
        </w:rPr>
        <w:t xml:space="preserve"> </w:t>
      </w:r>
      <w:r w:rsidR="009E5C76" w:rsidRPr="005B71B5">
        <w:t xml:space="preserve">Clauses in </w:t>
      </w:r>
      <w:r w:rsidR="009E5C76" w:rsidRPr="005B71B5">
        <w:rPr>
          <w:i/>
        </w:rPr>
        <w:t>italic</w:t>
      </w:r>
      <w:r w:rsidR="009E5C76" w:rsidRPr="00E32100">
        <w:rPr>
          <w:b/>
        </w:rPr>
        <w:t xml:space="preserve"> </w:t>
      </w:r>
      <w:r w:rsidR="009E5C76" w:rsidRPr="00E32100">
        <w:rPr>
          <w:b/>
          <w:color w:val="548DD4" w:themeColor="text2" w:themeTint="99"/>
        </w:rPr>
        <w:t>blue</w:t>
      </w:r>
      <w:r w:rsidR="009E5C76" w:rsidRPr="00E32100">
        <w:rPr>
          <w:b/>
        </w:rPr>
        <w:t xml:space="preserve"> </w:t>
      </w:r>
      <w:r w:rsidR="009E5C76" w:rsidRPr="005B71B5">
        <w:t>type in the draft</w:t>
      </w:r>
      <w:r w:rsidR="009E5C76" w:rsidRPr="00E32100">
        <w:rPr>
          <w:b/>
        </w:rPr>
        <w:t xml:space="preserve"> </w:t>
      </w:r>
      <w:r w:rsidR="001961C9" w:rsidRPr="001961C9">
        <w:t>Workers’ Compensation</w:t>
      </w:r>
      <w:r w:rsidR="001961C9">
        <w:rPr>
          <w:b/>
        </w:rPr>
        <w:t xml:space="preserve"> </w:t>
      </w:r>
      <w:r w:rsidR="009E5C76" w:rsidRPr="001B28B2">
        <w:t>Actuarial Consulting Services Contract (</w:t>
      </w:r>
      <w:r w:rsidR="001B28B2" w:rsidRPr="001B28B2">
        <w:t xml:space="preserve">see </w:t>
      </w:r>
      <w:r w:rsidR="005B4E88">
        <w:t>Appendix A</w:t>
      </w:r>
      <w:r w:rsidR="009E5C76" w:rsidRPr="001B28B2">
        <w:t xml:space="preserve">) are </w:t>
      </w:r>
      <w:r w:rsidR="00D366E6">
        <w:t>deemed mandatory and are non</w:t>
      </w:r>
      <w:r w:rsidR="009E5C76" w:rsidRPr="001B28B2">
        <w:t>negotiable.</w:t>
      </w:r>
    </w:p>
    <w:p w14:paraId="6BE41973" w14:textId="77777777" w:rsidR="00BE764A" w:rsidRPr="001B28B2" w:rsidRDefault="00BE764A" w:rsidP="00E32100">
      <w:pPr>
        <w:jc w:val="both"/>
      </w:pPr>
    </w:p>
    <w:p w14:paraId="28B141EC" w14:textId="77777777" w:rsidR="00D1375F" w:rsidRDefault="00F01679" w:rsidP="00317CF7">
      <w:pPr>
        <w:pStyle w:val="Heading2"/>
        <w:numPr>
          <w:ilvl w:val="1"/>
          <w:numId w:val="1"/>
        </w:numPr>
        <w:ind w:left="418" w:hanging="418"/>
        <w:jc w:val="both"/>
        <w:rPr>
          <w:sz w:val="24"/>
        </w:rPr>
      </w:pPr>
      <w:bookmarkStart w:id="10" w:name="_Toc3360009"/>
      <w:r w:rsidRPr="00D1375F">
        <w:rPr>
          <w:sz w:val="24"/>
        </w:rPr>
        <w:t>Corrections and Clarifications</w:t>
      </w:r>
      <w:bookmarkEnd w:id="10"/>
      <w:r w:rsidR="00D1375F" w:rsidRPr="00D1375F">
        <w:rPr>
          <w:sz w:val="24"/>
        </w:rPr>
        <w:t xml:space="preserve"> </w:t>
      </w:r>
    </w:p>
    <w:p w14:paraId="0975F4DF" w14:textId="240BF823" w:rsidR="009E5C76" w:rsidRPr="004107C2" w:rsidRDefault="006564C1" w:rsidP="00317CF7">
      <w:pPr>
        <w:jc w:val="both"/>
      </w:pPr>
      <w:r w:rsidRPr="00914A1B">
        <w:t>DFA</w:t>
      </w:r>
      <w:r w:rsidR="009E5C76" w:rsidRPr="004107C2">
        <w:t xml:space="preserve"> reserves the right to request clarifications or corrections to proposals. Any proposal received which does not meet </w:t>
      </w:r>
      <w:r w:rsidR="009E5C76">
        <w:t xml:space="preserve">any of the requirements </w:t>
      </w:r>
      <w:r w:rsidR="009E5C76" w:rsidRPr="004107C2">
        <w:t>of this RFP, including clarification or correction requests, may be considered non-responsive and eliminated from further consideration.</w:t>
      </w:r>
    </w:p>
    <w:p w14:paraId="6ED80CAA" w14:textId="77777777" w:rsidR="00BE764A" w:rsidRPr="00BE764A" w:rsidRDefault="00BE764A" w:rsidP="00317CF7">
      <w:pPr>
        <w:jc w:val="both"/>
      </w:pPr>
    </w:p>
    <w:p w14:paraId="716AC386" w14:textId="0D13A0AE" w:rsidR="00D1375F" w:rsidRDefault="00F01679" w:rsidP="009B4CE6">
      <w:pPr>
        <w:pStyle w:val="Heading2"/>
        <w:numPr>
          <w:ilvl w:val="1"/>
          <w:numId w:val="1"/>
        </w:numPr>
        <w:ind w:left="418" w:hanging="418"/>
        <w:jc w:val="both"/>
        <w:rPr>
          <w:sz w:val="24"/>
        </w:rPr>
      </w:pPr>
      <w:bookmarkStart w:id="11" w:name="_Toc3360010"/>
      <w:r w:rsidRPr="00D1375F">
        <w:rPr>
          <w:sz w:val="24"/>
        </w:rPr>
        <w:t>Right of Negotiation</w:t>
      </w:r>
      <w:bookmarkEnd w:id="11"/>
    </w:p>
    <w:p w14:paraId="27DBEFEE" w14:textId="3820C72D" w:rsidR="00E32100" w:rsidRDefault="00E32100" w:rsidP="00317CF7">
      <w:pPr>
        <w:jc w:val="both"/>
      </w:pPr>
      <w:r w:rsidRPr="004107C2">
        <w:t xml:space="preserve">Discussions and negotiations regarding price and other matters may be conducted with a proposer who submits a proposal determined to have reasonable likelihood of being selected for award, but a proposal may be accepted without such discussions. The </w:t>
      </w:r>
      <w:r w:rsidR="006564C1" w:rsidRPr="00914A1B">
        <w:t>DFA</w:t>
      </w:r>
      <w:r w:rsidRPr="004107C2">
        <w:t xml:space="preserve"> reserves the right to further clarify and/or negotiate with the proposer evaluated best following completion of the evaluation of proposals but prior to contract execution, if deemed necessary by the </w:t>
      </w:r>
      <w:r w:rsidR="006564C1" w:rsidRPr="00914A1B">
        <w:t>DFA</w:t>
      </w:r>
      <w:r w:rsidRPr="004107C2">
        <w:t xml:space="preserve">. The </w:t>
      </w:r>
      <w:r w:rsidR="006564C1" w:rsidRPr="00914A1B">
        <w:t>DFA</w:t>
      </w:r>
      <w:r w:rsidRPr="004107C2">
        <w:t xml:space="preserve"> also reserves the right to move to the next best proposer if negotiations do not lead to an executed contract with the best proposer. The </w:t>
      </w:r>
      <w:r w:rsidR="006564C1" w:rsidRPr="00914A1B">
        <w:t>DFA</w:t>
      </w:r>
      <w:r w:rsidRPr="004107C2">
        <w:t xml:space="preserve"> reserves the right to further clarify and/or negotiate with the proposer on any matter submitted.</w:t>
      </w:r>
    </w:p>
    <w:p w14:paraId="79F91201" w14:textId="77777777" w:rsidR="001F5846" w:rsidRPr="004107C2" w:rsidRDefault="001F5846" w:rsidP="00317CF7">
      <w:pPr>
        <w:jc w:val="both"/>
      </w:pPr>
    </w:p>
    <w:p w14:paraId="2921D14A" w14:textId="4507EC15" w:rsidR="00D1375F" w:rsidRDefault="00F01679" w:rsidP="00317CF7">
      <w:pPr>
        <w:pStyle w:val="Heading2"/>
        <w:numPr>
          <w:ilvl w:val="1"/>
          <w:numId w:val="1"/>
        </w:numPr>
        <w:ind w:left="418" w:hanging="418"/>
        <w:jc w:val="both"/>
        <w:rPr>
          <w:sz w:val="24"/>
        </w:rPr>
      </w:pPr>
      <w:bookmarkStart w:id="12" w:name="_Toc3360011"/>
      <w:r w:rsidRPr="00D1375F">
        <w:rPr>
          <w:sz w:val="24"/>
        </w:rPr>
        <w:t>Acknowledgment of RFP Amendments</w:t>
      </w:r>
      <w:bookmarkEnd w:id="12"/>
    </w:p>
    <w:p w14:paraId="0B5D784D" w14:textId="77777777" w:rsidR="006E7A4A" w:rsidRDefault="00505281" w:rsidP="00317CF7">
      <w:pPr>
        <w:jc w:val="both"/>
      </w:pPr>
      <w:bookmarkStart w:id="13" w:name="_Toc405463855"/>
      <w:r w:rsidRPr="004107C2">
        <w:t xml:space="preserve">Should an amendment to the RFP be issued, it will be posted </w:t>
      </w:r>
      <w:r>
        <w:t xml:space="preserve">on </w:t>
      </w:r>
      <w:r w:rsidRPr="00DB7061">
        <w:t xml:space="preserve">DFA’s website under the heading “Bid and RFP Notices” at </w:t>
      </w:r>
      <w:hyperlink r:id="rId17" w:history="1">
        <w:r w:rsidRPr="00DB7061">
          <w:rPr>
            <w:rStyle w:val="Hyperlink"/>
          </w:rPr>
          <w:t>http://www.dfa.ms.gov/bid-rfp-notices/</w:t>
        </w:r>
      </w:hyperlink>
      <w:r w:rsidRPr="00DB7061">
        <w:t xml:space="preserve">.  </w:t>
      </w:r>
      <w:r w:rsidRPr="008F02CD">
        <w:t>Proposers must acknowledge receipt of any amendment to the RFP by signing and returning the</w:t>
      </w:r>
      <w:r w:rsidRPr="004107C2">
        <w:t xml:space="preserve"> amendment form with the proposal, by identifying the amendment number and date in the space provided for this purpose on the amendment form, or by letter. </w:t>
      </w:r>
    </w:p>
    <w:p w14:paraId="120B9855" w14:textId="1BDCC7E4" w:rsidR="00505281" w:rsidRDefault="00505281" w:rsidP="00317CF7">
      <w:pPr>
        <w:jc w:val="both"/>
      </w:pPr>
      <w:r w:rsidRPr="004107C2">
        <w:t xml:space="preserve">The acknowledgment must be received by DFA by the time and at the place specified for receipt of proposals. Please monitor the website for amendments to the RFP. </w:t>
      </w:r>
      <w:r>
        <w:t>Board r</w:t>
      </w:r>
      <w:r w:rsidRPr="004107C2">
        <w:t xml:space="preserve">esponses to questions will be treated as amendments to the RFP and will require acknowledgment. </w:t>
      </w:r>
    </w:p>
    <w:p w14:paraId="726CF9C1" w14:textId="77777777" w:rsidR="00A24C02" w:rsidRDefault="00A24C02" w:rsidP="00317CF7">
      <w:pPr>
        <w:jc w:val="both"/>
      </w:pPr>
    </w:p>
    <w:p w14:paraId="5C9AF390" w14:textId="3173A4AD" w:rsidR="00BE764A" w:rsidRPr="00BE764A" w:rsidRDefault="00F01679" w:rsidP="00317CF7">
      <w:pPr>
        <w:pStyle w:val="Heading2"/>
        <w:numPr>
          <w:ilvl w:val="1"/>
          <w:numId w:val="1"/>
        </w:numPr>
        <w:ind w:left="418" w:hanging="418"/>
        <w:jc w:val="both"/>
        <w:rPr>
          <w:sz w:val="24"/>
        </w:rPr>
      </w:pPr>
      <w:bookmarkStart w:id="14" w:name="_Toc3360012"/>
      <w:bookmarkEnd w:id="13"/>
      <w:r w:rsidRPr="00D1375F">
        <w:rPr>
          <w:sz w:val="24"/>
        </w:rPr>
        <w:t>Modification or Withdrawal of a Proposal</w:t>
      </w:r>
      <w:bookmarkEnd w:id="14"/>
      <w:r w:rsidR="00D1375F" w:rsidRPr="00D1375F">
        <w:rPr>
          <w:sz w:val="24"/>
        </w:rPr>
        <w:t xml:space="preserve"> </w:t>
      </w:r>
    </w:p>
    <w:p w14:paraId="2F62F2B9" w14:textId="2F78723C" w:rsidR="009E5C76" w:rsidRPr="009E5C76" w:rsidRDefault="009E5C76" w:rsidP="00317CF7">
      <w:pPr>
        <w:jc w:val="both"/>
        <w:rPr>
          <w:b/>
          <w:i/>
        </w:rPr>
      </w:pPr>
      <w:r w:rsidRPr="004107C2">
        <w:t>A proposer may withdraw a submitted proposal by submitting a written notific</w:t>
      </w:r>
      <w:r w:rsidR="001015B0">
        <w:t xml:space="preserve">ation for its withdrawal to </w:t>
      </w:r>
      <w:r w:rsidR="006564C1" w:rsidRPr="00914A1B">
        <w:t>DFA</w:t>
      </w:r>
      <w:r w:rsidRPr="004107C2">
        <w:t>, signed by the proposer,</w:t>
      </w:r>
      <w:r w:rsidR="001015B0">
        <w:t xml:space="preserve"> and e-mailed, or mailed to </w:t>
      </w:r>
      <w:r w:rsidR="006564C1" w:rsidRPr="00914A1B">
        <w:t>DFA</w:t>
      </w:r>
      <w:r w:rsidRPr="004107C2">
        <w:t xml:space="preserve"> at the address provided in</w:t>
      </w:r>
      <w:r>
        <w:t xml:space="preserve"> </w:t>
      </w:r>
      <w:r w:rsidRPr="009E5C76">
        <w:rPr>
          <w:b/>
          <w:i/>
          <w:u w:val="single"/>
        </w:rPr>
        <w:t>Section 1.3 Instructions to Proposers</w:t>
      </w:r>
      <w:r w:rsidRPr="009E5C76">
        <w:rPr>
          <w:b/>
          <w:i/>
        </w:rPr>
        <w:t xml:space="preserve"> </w:t>
      </w:r>
      <w:r w:rsidRPr="00B505D4">
        <w:t>prior to the time and date set for proposal opening</w:t>
      </w:r>
      <w:r w:rsidR="001015B0">
        <w:t xml:space="preserve">. </w:t>
      </w:r>
      <w:r w:rsidR="006564C1" w:rsidRPr="00914A1B">
        <w:t>DFA</w:t>
      </w:r>
      <w:r w:rsidRPr="004107C2">
        <w:t xml:space="preserve"> shall not accept any amendments, revisions, or alterations to proposals after the due date unless requested by the </w:t>
      </w:r>
      <w:r w:rsidR="006564C1" w:rsidRPr="00914A1B">
        <w:t>DFA</w:t>
      </w:r>
      <w:r w:rsidRPr="004107C2">
        <w:t>.</w:t>
      </w:r>
      <w:r>
        <w:t xml:space="preserve"> Late proposals shall not be considered for award and the proposer shall be </w:t>
      </w:r>
      <w:proofErr w:type="gramStart"/>
      <w:r>
        <w:t>so</w:t>
      </w:r>
      <w:proofErr w:type="gramEnd"/>
      <w:r>
        <w:t xml:space="preserve"> notified as soon as practicable. </w:t>
      </w:r>
    </w:p>
    <w:p w14:paraId="7BA4E314" w14:textId="77777777" w:rsidR="00BE764A" w:rsidRPr="00BE764A" w:rsidRDefault="00BE764A" w:rsidP="00317CF7">
      <w:pPr>
        <w:jc w:val="both"/>
      </w:pPr>
    </w:p>
    <w:p w14:paraId="7FA864EE" w14:textId="46CA7193" w:rsidR="00D1375F" w:rsidRDefault="00F01679" w:rsidP="00317CF7">
      <w:pPr>
        <w:pStyle w:val="Heading2"/>
        <w:numPr>
          <w:ilvl w:val="1"/>
          <w:numId w:val="1"/>
        </w:numPr>
        <w:ind w:left="418" w:hanging="418"/>
        <w:jc w:val="both"/>
        <w:rPr>
          <w:sz w:val="24"/>
        </w:rPr>
      </w:pPr>
      <w:bookmarkStart w:id="15" w:name="_Toc3360013"/>
      <w:r w:rsidRPr="00D1375F">
        <w:rPr>
          <w:sz w:val="24"/>
        </w:rPr>
        <w:t>Cost of Proposal Preparation</w:t>
      </w:r>
      <w:bookmarkEnd w:id="15"/>
      <w:r w:rsidR="00D1375F" w:rsidRPr="00D1375F">
        <w:rPr>
          <w:sz w:val="24"/>
        </w:rPr>
        <w:t xml:space="preserve"> </w:t>
      </w:r>
    </w:p>
    <w:p w14:paraId="7A350999" w14:textId="4D796140" w:rsidR="00E32100" w:rsidRDefault="00E32100" w:rsidP="00317CF7">
      <w:pPr>
        <w:jc w:val="both"/>
      </w:pPr>
      <w:r w:rsidRPr="004107C2">
        <w:t xml:space="preserve">All costs incurred by the proposer in preparing and delivering its proposal, making presentations, and any subsequent time and travel to meet with the </w:t>
      </w:r>
      <w:r w:rsidR="006564C1" w:rsidRPr="00914A1B">
        <w:t>DFA</w:t>
      </w:r>
      <w:r w:rsidRPr="004107C2">
        <w:t xml:space="preserve"> regarding its proposal shall be borne at the proposer’s expense.</w:t>
      </w:r>
    </w:p>
    <w:p w14:paraId="5FBE3E9F" w14:textId="77777777" w:rsidR="00BE764A" w:rsidRPr="00BE764A" w:rsidRDefault="00BE764A" w:rsidP="00317CF7">
      <w:pPr>
        <w:jc w:val="both"/>
      </w:pPr>
    </w:p>
    <w:p w14:paraId="5CE0612D" w14:textId="3D993716" w:rsidR="00611C76" w:rsidRDefault="00611C76" w:rsidP="00317CF7">
      <w:pPr>
        <w:pStyle w:val="Heading2"/>
        <w:numPr>
          <w:ilvl w:val="1"/>
          <w:numId w:val="1"/>
        </w:numPr>
        <w:ind w:left="418" w:hanging="418"/>
        <w:jc w:val="both"/>
        <w:rPr>
          <w:sz w:val="24"/>
        </w:rPr>
      </w:pPr>
      <w:bookmarkStart w:id="16" w:name="_Toc3360014"/>
      <w:r>
        <w:rPr>
          <w:sz w:val="24"/>
        </w:rPr>
        <w:t>Proposal Evaluation</w:t>
      </w:r>
      <w:bookmarkEnd w:id="16"/>
      <w:r>
        <w:rPr>
          <w:sz w:val="24"/>
        </w:rPr>
        <w:t xml:space="preserve"> </w:t>
      </w:r>
    </w:p>
    <w:p w14:paraId="2B0E9FDC" w14:textId="4A1EF250" w:rsidR="00505281" w:rsidRPr="0080028E" w:rsidRDefault="00505281" w:rsidP="00317CF7">
      <w:pPr>
        <w:jc w:val="both"/>
      </w:pPr>
      <w:r w:rsidRPr="004107C2">
        <w:t xml:space="preserve">All proposals received in response to this RFP by the stated deadline will receive a comprehensive, fair, and impartial evaluation. An evaluation committee will evaluate the proposals </w:t>
      </w:r>
      <w:r>
        <w:t xml:space="preserve">using a </w:t>
      </w:r>
      <w:r w:rsidRPr="004107C2">
        <w:t>three-phase process</w:t>
      </w:r>
      <w:r>
        <w:t xml:space="preserve">, consisting of Compliance, Analysis, and Finalist phases.  For proposals determined to be compliant and responsive to the RFP, consensus scoring will be used in the evaluation process using a 100-point scale.  For proposals ultimately determined to be finalists, points may be added or deducted based on presentations and site visits, if applicable. Consensus scoring  involves  a  solidarity  or  general  agreement  of  opinion  among  evaluators,  based  on information and data contained in the RFP responses.  </w:t>
      </w:r>
      <w:r w:rsidRPr="004107C2">
        <w:t>The evaluation of any proposal may be sus</w:t>
      </w:r>
      <w:r w:rsidR="008D2CE7">
        <w:t xml:space="preserve">pended and/or terminated at </w:t>
      </w:r>
      <w:r w:rsidR="006564C1" w:rsidRPr="00914A1B">
        <w:t>DFA</w:t>
      </w:r>
      <w:r w:rsidRPr="004107C2">
        <w:t>’s discretion at any point during the eval</w:t>
      </w:r>
      <w:r w:rsidR="008D2CE7">
        <w:t xml:space="preserve">uation process at which </w:t>
      </w:r>
      <w:r w:rsidR="006564C1" w:rsidRPr="00914A1B">
        <w:t>DFA</w:t>
      </w:r>
      <w:r w:rsidRPr="004107C2">
        <w:t xml:space="preserve"> determines that said proposal and/or proposer fails to meet any of the mandatory requirements as stated in this RFP, the proposal is determined to contain fatal deficiencies to the extent that the likelihood of selection for contract </w:t>
      </w:r>
      <w:r w:rsidR="008D2CE7">
        <w:t xml:space="preserve">negotiations is minimal, or </w:t>
      </w:r>
      <w:r w:rsidR="006564C1" w:rsidRPr="00914A1B">
        <w:t>DFA</w:t>
      </w:r>
      <w:r w:rsidRPr="004107C2">
        <w:t xml:space="preserve"> receives reliable information that would make contracting with the proposer impractical or otherwise not in the best interests of the Board</w:t>
      </w:r>
      <w:r w:rsidR="00CB3210">
        <w:t>, DFA,</w:t>
      </w:r>
      <w:r w:rsidRPr="004107C2">
        <w:t xml:space="preserve"> and/or the </w:t>
      </w:r>
      <w:r w:rsidR="007458A0">
        <w:t>s</w:t>
      </w:r>
      <w:r w:rsidRPr="004107C2">
        <w:t>tate of Mississippi.</w:t>
      </w:r>
      <w:r w:rsidR="0080028E">
        <w:t xml:space="preserve"> </w:t>
      </w:r>
      <w:r>
        <w:t xml:space="preserve">The evaluation process, including evaluation factors and weights, is described below: </w:t>
      </w:r>
    </w:p>
    <w:p w14:paraId="6B1797D5" w14:textId="77777777" w:rsidR="00505281" w:rsidRDefault="00505281" w:rsidP="00317CF7">
      <w:pPr>
        <w:jc w:val="both"/>
        <w:rPr>
          <w:b/>
        </w:rPr>
      </w:pPr>
    </w:p>
    <w:p w14:paraId="0328A937" w14:textId="77777777" w:rsidR="00505281" w:rsidRPr="004107C2" w:rsidRDefault="00505281" w:rsidP="00317CF7">
      <w:pPr>
        <w:jc w:val="both"/>
      </w:pPr>
      <w:r w:rsidRPr="004107C2">
        <w:rPr>
          <w:b/>
        </w:rPr>
        <w:t>Compliance Phase</w:t>
      </w:r>
      <w:r w:rsidRPr="004107C2">
        <w:t xml:space="preserve"> - In this phase of the evaluation process, all proposals received will be reviewed </w:t>
      </w:r>
      <w:r>
        <w:t xml:space="preserve">by the procurement manager and/or designee </w:t>
      </w:r>
      <w:r w:rsidRPr="004107C2">
        <w:t>to determine if the following mandatory requirements of this RFP have been satisfied:</w:t>
      </w:r>
    </w:p>
    <w:p w14:paraId="49F04692" w14:textId="77777777" w:rsidR="00505281" w:rsidRPr="004107C2" w:rsidRDefault="00505281" w:rsidP="006E7A4A">
      <w:pPr>
        <w:pStyle w:val="NumList1"/>
        <w:numPr>
          <w:ilvl w:val="0"/>
          <w:numId w:val="19"/>
        </w:numPr>
      </w:pPr>
      <w:r w:rsidRPr="004107C2">
        <w:t>Proposal submission deadline met</w:t>
      </w:r>
    </w:p>
    <w:p w14:paraId="21D03399" w14:textId="77777777" w:rsidR="00505281" w:rsidRPr="004107C2" w:rsidRDefault="00505281" w:rsidP="006E7A4A">
      <w:pPr>
        <w:pStyle w:val="NumList1"/>
        <w:numPr>
          <w:ilvl w:val="0"/>
          <w:numId w:val="19"/>
        </w:numPr>
      </w:pPr>
      <w:r w:rsidRPr="004107C2">
        <w:t>Required format followed</w:t>
      </w:r>
      <w:r>
        <w:t>:</w:t>
      </w:r>
    </w:p>
    <w:p w14:paraId="2A6F80AA" w14:textId="77777777" w:rsidR="007458A0" w:rsidRDefault="007458A0" w:rsidP="007458A0">
      <w:pPr>
        <w:pStyle w:val="NumList1"/>
        <w:numPr>
          <w:ilvl w:val="4"/>
          <w:numId w:val="2"/>
        </w:numPr>
        <w:spacing w:before="0" w:after="120"/>
        <w:ind w:left="1080" w:firstLine="0"/>
      </w:pPr>
      <w:r w:rsidRPr="004107C2">
        <w:t xml:space="preserve">Signed original </w:t>
      </w:r>
      <w:r>
        <w:t xml:space="preserve">complete printed proposal </w:t>
      </w:r>
    </w:p>
    <w:p w14:paraId="12A7D5B3" w14:textId="29C8A111" w:rsidR="007458A0" w:rsidRDefault="007458A0" w:rsidP="007458A0">
      <w:pPr>
        <w:pStyle w:val="NumList1"/>
        <w:numPr>
          <w:ilvl w:val="4"/>
          <w:numId w:val="2"/>
        </w:numPr>
        <w:tabs>
          <w:tab w:val="clear" w:pos="1080"/>
          <w:tab w:val="left" w:pos="1530"/>
        </w:tabs>
        <w:spacing w:before="0" w:after="120"/>
        <w:ind w:left="1440"/>
      </w:pPr>
      <w:r>
        <w:t xml:space="preserve">Electronic </w:t>
      </w:r>
      <w:r w:rsidRPr="004107C2">
        <w:t xml:space="preserve">copy of </w:t>
      </w:r>
      <w:r>
        <w:t xml:space="preserve">complete </w:t>
      </w:r>
      <w:r w:rsidRPr="004107C2">
        <w:t>proposal</w:t>
      </w:r>
      <w:r>
        <w:t>, including attachments</w:t>
      </w:r>
      <w:r w:rsidRPr="004107C2">
        <w:t xml:space="preserve"> in </w:t>
      </w:r>
      <w:r w:rsidR="002F4259">
        <w:t xml:space="preserve">searchable </w:t>
      </w:r>
      <w:r w:rsidR="00C71805" w:rsidRPr="00EB7D54">
        <w:t>Microsoft Office</w:t>
      </w:r>
      <w:r w:rsidR="00C71805" w:rsidRPr="009D2A3B">
        <w:rPr>
          <w:vertAlign w:val="superscript"/>
        </w:rPr>
        <w:t>®</w:t>
      </w:r>
      <w:r w:rsidR="00C71805" w:rsidRPr="00EB7D54">
        <w:t xml:space="preserve"> </w:t>
      </w:r>
      <w:r w:rsidR="002F4259">
        <w:t xml:space="preserve"> format, preferably in </w:t>
      </w:r>
      <w:r w:rsidR="00C71805" w:rsidRPr="00EB7D54">
        <w:t>Word</w:t>
      </w:r>
      <w:r w:rsidR="00C71805" w:rsidRPr="009D2A3B">
        <w:rPr>
          <w:vertAlign w:val="superscript"/>
        </w:rPr>
        <w:t>®</w:t>
      </w:r>
      <w:r w:rsidR="002F4259">
        <w:t xml:space="preserve"> or</w:t>
      </w:r>
      <w:r w:rsidR="002F4259" w:rsidRPr="004107C2">
        <w:t xml:space="preserve"> </w:t>
      </w:r>
      <w:r w:rsidR="002F4259">
        <w:t>P</w:t>
      </w:r>
      <w:r w:rsidR="002F4259" w:rsidRPr="004107C2">
        <w:t xml:space="preserve">ortable </w:t>
      </w:r>
      <w:r w:rsidR="002F4259">
        <w:t>D</w:t>
      </w:r>
      <w:r w:rsidR="002F4259" w:rsidRPr="004107C2">
        <w:t xml:space="preserve">ocument </w:t>
      </w:r>
      <w:r w:rsidR="002F4259">
        <w:t>F</w:t>
      </w:r>
      <w:r w:rsidR="002F4259" w:rsidRPr="004107C2">
        <w:t>ormat (PDF</w:t>
      </w:r>
      <w:r w:rsidR="00C71805" w:rsidRPr="009D2A3B">
        <w:rPr>
          <w:vertAlign w:val="superscript"/>
        </w:rPr>
        <w:t>®</w:t>
      </w:r>
      <w:r w:rsidR="002F4259" w:rsidRPr="004107C2">
        <w:t>) on flash drive or compact dis</w:t>
      </w:r>
      <w:r w:rsidR="002F4259">
        <w:t>c</w:t>
      </w:r>
    </w:p>
    <w:p w14:paraId="4BBDE2A2" w14:textId="77777777" w:rsidR="007458A0" w:rsidRDefault="007458A0" w:rsidP="007458A0">
      <w:pPr>
        <w:pStyle w:val="NumList1"/>
        <w:numPr>
          <w:ilvl w:val="4"/>
          <w:numId w:val="2"/>
        </w:numPr>
        <w:spacing w:before="0" w:after="120"/>
        <w:ind w:hanging="90"/>
      </w:pPr>
      <w:r>
        <w:t xml:space="preserve">An electronic </w:t>
      </w:r>
      <w:r w:rsidRPr="005B71B5">
        <w:rPr>
          <w:u w:val="single"/>
        </w:rPr>
        <w:t>redacted</w:t>
      </w:r>
      <w:r w:rsidRPr="004107C2">
        <w:t xml:space="preserve"> copy of </w:t>
      </w:r>
      <w:r>
        <w:t xml:space="preserve">complete </w:t>
      </w:r>
      <w:r w:rsidRPr="004107C2">
        <w:t>proposal</w:t>
      </w:r>
      <w:r>
        <w:t>, including attachments (as applicable)</w:t>
      </w:r>
    </w:p>
    <w:p w14:paraId="4EAC39F1" w14:textId="77777777" w:rsidR="007458A0" w:rsidRDefault="007458A0" w:rsidP="007458A0">
      <w:pPr>
        <w:pStyle w:val="NumList1"/>
        <w:numPr>
          <w:ilvl w:val="4"/>
          <w:numId w:val="2"/>
        </w:numPr>
        <w:spacing w:before="0" w:after="120"/>
        <w:ind w:left="1440"/>
      </w:pPr>
      <w:r>
        <w:t>An electronic “blind” copy of your proposal</w:t>
      </w:r>
    </w:p>
    <w:p w14:paraId="5706AF48" w14:textId="77777777" w:rsidR="00505281" w:rsidRPr="004107C2" w:rsidRDefault="00505281" w:rsidP="00317CF7">
      <w:pPr>
        <w:pStyle w:val="NumList1"/>
        <w:numPr>
          <w:ilvl w:val="0"/>
          <w:numId w:val="2"/>
        </w:numPr>
        <w:ind w:left="1170"/>
      </w:pPr>
      <w:r w:rsidRPr="004107C2">
        <w:t>Duration of proposal requirement met</w:t>
      </w:r>
    </w:p>
    <w:p w14:paraId="367F4874" w14:textId="77777777" w:rsidR="00505281" w:rsidRPr="004107C2" w:rsidRDefault="00505281" w:rsidP="00317CF7">
      <w:pPr>
        <w:pStyle w:val="NumList1"/>
        <w:numPr>
          <w:ilvl w:val="0"/>
          <w:numId w:val="2"/>
        </w:numPr>
        <w:ind w:left="1170"/>
      </w:pPr>
      <w:r w:rsidRPr="004107C2">
        <w:t>Minimum Vendor Requirements met</w:t>
      </w:r>
    </w:p>
    <w:p w14:paraId="4C0B682D" w14:textId="77777777" w:rsidR="00505281" w:rsidRPr="004107C2" w:rsidRDefault="00505281" w:rsidP="00317CF7">
      <w:pPr>
        <w:pStyle w:val="NumList1"/>
        <w:numPr>
          <w:ilvl w:val="0"/>
          <w:numId w:val="2"/>
        </w:numPr>
        <w:ind w:left="1170"/>
      </w:pPr>
      <w:r w:rsidRPr="004107C2">
        <w:t>Scope of Services Confirmation</w:t>
      </w:r>
    </w:p>
    <w:p w14:paraId="6CA85E9C" w14:textId="77777777" w:rsidR="00505281" w:rsidRDefault="00505281" w:rsidP="00317CF7">
      <w:pPr>
        <w:pStyle w:val="NumList1"/>
        <w:numPr>
          <w:ilvl w:val="0"/>
          <w:numId w:val="2"/>
        </w:numPr>
        <w:ind w:left="1170"/>
      </w:pPr>
      <w:r w:rsidRPr="004107C2">
        <w:t xml:space="preserve">Narrative </w:t>
      </w:r>
      <w:r>
        <w:t>Q</w:t>
      </w:r>
      <w:r w:rsidRPr="004107C2">
        <w:t xml:space="preserve">uestionnaire </w:t>
      </w:r>
      <w:r>
        <w:t xml:space="preserve">(Section 4) </w:t>
      </w:r>
      <w:r w:rsidRPr="004107C2">
        <w:t>answered</w:t>
      </w:r>
    </w:p>
    <w:p w14:paraId="124285D4" w14:textId="77777777" w:rsidR="00505281" w:rsidRDefault="00505281" w:rsidP="00317CF7">
      <w:pPr>
        <w:pStyle w:val="NumList1"/>
        <w:numPr>
          <w:ilvl w:val="0"/>
          <w:numId w:val="2"/>
        </w:numPr>
        <w:ind w:left="1170"/>
      </w:pPr>
      <w:r>
        <w:t>References (Section 5) provided</w:t>
      </w:r>
    </w:p>
    <w:p w14:paraId="1D14D2EF" w14:textId="77777777" w:rsidR="00505281" w:rsidRPr="004107C2" w:rsidRDefault="00505281" w:rsidP="00317CF7">
      <w:pPr>
        <w:pStyle w:val="NumList1"/>
        <w:numPr>
          <w:ilvl w:val="0"/>
          <w:numId w:val="2"/>
        </w:numPr>
        <w:ind w:left="1170"/>
      </w:pPr>
      <w:r>
        <w:t xml:space="preserve">Service Plan (Section 6) answered </w:t>
      </w:r>
    </w:p>
    <w:p w14:paraId="42ECE826" w14:textId="77777777" w:rsidR="00505281" w:rsidRDefault="00505281" w:rsidP="00317CF7">
      <w:pPr>
        <w:pStyle w:val="NumList1"/>
        <w:numPr>
          <w:ilvl w:val="0"/>
          <w:numId w:val="2"/>
        </w:numPr>
        <w:ind w:left="1170"/>
      </w:pPr>
      <w:r>
        <w:t xml:space="preserve">Fee Schedule (Section 7) provided </w:t>
      </w:r>
    </w:p>
    <w:p w14:paraId="3F69149C" w14:textId="444CA2C0" w:rsidR="00505281" w:rsidRPr="004107C2" w:rsidRDefault="00505281" w:rsidP="00317CF7">
      <w:pPr>
        <w:pStyle w:val="NumList1"/>
        <w:numPr>
          <w:ilvl w:val="0"/>
          <w:numId w:val="2"/>
        </w:numPr>
        <w:ind w:left="1170"/>
      </w:pPr>
      <w:r w:rsidRPr="004107C2">
        <w:t>Signed Statement of Compliance with high degree of acceptance</w:t>
      </w:r>
      <w:r>
        <w:t xml:space="preserve"> (</w:t>
      </w:r>
      <w:r w:rsidRPr="00057EA6">
        <w:t xml:space="preserve">Section </w:t>
      </w:r>
      <w:r w:rsidR="00DB261D" w:rsidRPr="00057EA6">
        <w:t>8</w:t>
      </w:r>
      <w:r w:rsidRPr="00057EA6">
        <w:t>)</w:t>
      </w:r>
    </w:p>
    <w:p w14:paraId="3D48810F" w14:textId="3C2A025D" w:rsidR="00505281" w:rsidRPr="004107C2" w:rsidRDefault="00505281" w:rsidP="00317CF7">
      <w:pPr>
        <w:pStyle w:val="NumList1"/>
        <w:numPr>
          <w:ilvl w:val="0"/>
          <w:numId w:val="2"/>
        </w:numPr>
        <w:ind w:left="1170"/>
      </w:pPr>
      <w:r w:rsidRPr="004107C2">
        <w:t>Signed Acknowledgement of RFP Amendment</w:t>
      </w:r>
      <w:r>
        <w:t>(s)</w:t>
      </w:r>
      <w:r w:rsidRPr="004107C2">
        <w:t xml:space="preserve">, </w:t>
      </w:r>
      <w:r>
        <w:t xml:space="preserve">including the amendment with the </w:t>
      </w:r>
      <w:r w:rsidR="0080028E">
        <w:t xml:space="preserve">DFA Responses to Vendor </w:t>
      </w:r>
      <w:r>
        <w:t xml:space="preserve">Questions, </w:t>
      </w:r>
      <w:r w:rsidRPr="004107C2">
        <w:t>if any posted</w:t>
      </w:r>
    </w:p>
    <w:p w14:paraId="218BF4DE" w14:textId="77777777" w:rsidR="00505281" w:rsidRPr="004107C2" w:rsidRDefault="00505281" w:rsidP="00317CF7">
      <w:pPr>
        <w:pStyle w:val="NumList1"/>
        <w:numPr>
          <w:ilvl w:val="0"/>
          <w:numId w:val="2"/>
        </w:numPr>
        <w:ind w:left="1170"/>
      </w:pPr>
      <w:r w:rsidRPr="004107C2">
        <w:t>Required proposal attachments provided</w:t>
      </w:r>
      <w:r>
        <w:t>, if any</w:t>
      </w:r>
    </w:p>
    <w:p w14:paraId="721B3E5B" w14:textId="77777777" w:rsidR="00783B44" w:rsidRDefault="00783B44" w:rsidP="00783B44">
      <w:pPr>
        <w:jc w:val="both"/>
      </w:pPr>
      <w:r w:rsidRPr="004107C2">
        <w:t xml:space="preserve">Failure to comply with these requirements may result in the proposal being eliminated from further consideration. Those proposers passing the Compliance Phase will be evaluated further. The </w:t>
      </w:r>
      <w:r w:rsidRPr="00914A1B">
        <w:t>DFA</w:t>
      </w:r>
      <w:r w:rsidRPr="004107C2">
        <w:t xml:space="preserve"> reserves the right to waive minor informalities in a proposal in this phase of the evaluation.</w:t>
      </w:r>
      <w:r>
        <w:t xml:space="preserve">  </w:t>
      </w:r>
    </w:p>
    <w:p w14:paraId="113DA904" w14:textId="04E3FC30" w:rsidR="00505281" w:rsidRPr="004107C2" w:rsidRDefault="00505281" w:rsidP="00783B44">
      <w:pPr>
        <w:jc w:val="both"/>
        <w:rPr>
          <w:b/>
        </w:rPr>
      </w:pPr>
      <w:r w:rsidRPr="004107C2">
        <w:rPr>
          <w:b/>
        </w:rPr>
        <w:t xml:space="preserve">Weight – </w:t>
      </w:r>
      <w:r w:rsidR="00783B44">
        <w:rPr>
          <w:b/>
        </w:rPr>
        <w:t>The Compliance P</w:t>
      </w:r>
      <w:r w:rsidRPr="004107C2">
        <w:rPr>
          <w:b/>
        </w:rPr>
        <w:t xml:space="preserve">hase of the evaluation is considered </w:t>
      </w:r>
      <w:r>
        <w:rPr>
          <w:b/>
        </w:rPr>
        <w:t>p</w:t>
      </w:r>
      <w:r w:rsidRPr="004107C2">
        <w:rPr>
          <w:b/>
        </w:rPr>
        <w:t>ass/</w:t>
      </w:r>
      <w:r>
        <w:rPr>
          <w:b/>
        </w:rPr>
        <w:t>f</w:t>
      </w:r>
      <w:r w:rsidRPr="004107C2">
        <w:rPr>
          <w:b/>
        </w:rPr>
        <w:t>ail.</w:t>
      </w:r>
    </w:p>
    <w:p w14:paraId="0EA6E732" w14:textId="77777777" w:rsidR="00505281" w:rsidRPr="004107C2" w:rsidRDefault="00505281" w:rsidP="00317CF7">
      <w:pPr>
        <w:jc w:val="both"/>
      </w:pPr>
    </w:p>
    <w:p w14:paraId="34002B1A" w14:textId="527FC385" w:rsidR="00505281" w:rsidRDefault="00505281" w:rsidP="00317CF7">
      <w:pPr>
        <w:jc w:val="both"/>
      </w:pPr>
      <w:r w:rsidRPr="004107C2">
        <w:rPr>
          <w:b/>
        </w:rPr>
        <w:t>Analysis Phase</w:t>
      </w:r>
      <w:r w:rsidRPr="004107C2">
        <w:t xml:space="preserve"> - In this phase of the evaluation process, the evaluation committee will </w:t>
      </w:r>
      <w:r>
        <w:t>utilize consensus scoring to determine numerical scores for each qualified</w:t>
      </w:r>
      <w:r w:rsidR="00734D4C">
        <w:t>, but de-identified,</w:t>
      </w:r>
      <w:r>
        <w:t xml:space="preserve"> </w:t>
      </w:r>
      <w:r w:rsidRPr="004107C2">
        <w:t>proposal received</w:t>
      </w:r>
      <w:r>
        <w:t>,</w:t>
      </w:r>
      <w:r w:rsidRPr="004107C2">
        <w:t xml:space="preserve"> relative to the </w:t>
      </w:r>
      <w:r>
        <w:t>technical</w:t>
      </w:r>
      <w:r w:rsidR="00734D4C">
        <w:t xml:space="preserve"> </w:t>
      </w:r>
      <w:r w:rsidRPr="004107C2">
        <w:t xml:space="preserve">and </w:t>
      </w:r>
      <w:r>
        <w:t xml:space="preserve">management </w:t>
      </w:r>
      <w:r w:rsidR="00734D4C">
        <w:t xml:space="preserve">factors </w:t>
      </w:r>
      <w:r w:rsidRPr="004107C2">
        <w:t xml:space="preserve">of each proposal. </w:t>
      </w:r>
      <w:r>
        <w:t xml:space="preserve">The procurement manager and/or designee </w:t>
      </w:r>
      <w:r w:rsidRPr="00783B44">
        <w:rPr>
          <w:u w:val="single"/>
        </w:rPr>
        <w:t>will not</w:t>
      </w:r>
      <w:r>
        <w:t xml:space="preserve"> participate in the numeric</w:t>
      </w:r>
      <w:r w:rsidR="00734D4C">
        <w:t xml:space="preserve">al scoring of Technical and Management factors (as described below), but </w:t>
      </w:r>
      <w:r w:rsidR="00783B44" w:rsidRPr="00783B44">
        <w:rPr>
          <w:u w:val="single"/>
        </w:rPr>
        <w:t>will</w:t>
      </w:r>
      <w:r w:rsidR="00783B44">
        <w:t xml:space="preserve"> </w:t>
      </w:r>
      <w:r w:rsidR="00734D4C">
        <w:t>evaluate the Cost factor for each qualified proposal.</w:t>
      </w:r>
      <w:r w:rsidR="00783B44">
        <w:t xml:space="preserve">  </w:t>
      </w:r>
      <w:r>
        <w:t>Evaluation factors</w:t>
      </w:r>
      <w:r w:rsidRPr="004107C2">
        <w:t xml:space="preserve"> are listed in order of their relative importance</w:t>
      </w:r>
      <w:r>
        <w:t xml:space="preserve"> and weight</w:t>
      </w:r>
      <w:r w:rsidRPr="004107C2">
        <w:t>:</w:t>
      </w:r>
    </w:p>
    <w:p w14:paraId="0582584B" w14:textId="77777777" w:rsidR="00505281" w:rsidRPr="004107C2" w:rsidRDefault="00505281" w:rsidP="00317CF7">
      <w:pPr>
        <w:jc w:val="both"/>
      </w:pPr>
    </w:p>
    <w:p w14:paraId="7481F289" w14:textId="0A7CA946" w:rsidR="00505281" w:rsidRPr="00165BC6" w:rsidRDefault="00505281" w:rsidP="006E7A4A">
      <w:pPr>
        <w:pStyle w:val="ListParagraph"/>
        <w:numPr>
          <w:ilvl w:val="0"/>
          <w:numId w:val="9"/>
        </w:numPr>
        <w:contextualSpacing/>
        <w:jc w:val="both"/>
        <w:rPr>
          <w:rFonts w:eastAsiaTheme="minorHAnsi"/>
        </w:rPr>
      </w:pPr>
      <w:r>
        <w:t xml:space="preserve">Technical (Weight/Value - </w:t>
      </w:r>
      <w:r w:rsidR="00975782">
        <w:t>40</w:t>
      </w:r>
      <w:r>
        <w:t xml:space="preserve">%) – The quality and completeness of the proposer’s solutions and action plans for providing the services identified, demonstrating understanding, responsiveness, effectiveness, efficiency, and value to the Board </w:t>
      </w:r>
      <w:r w:rsidR="00734D4C">
        <w:t xml:space="preserve">and/or DFA </w:t>
      </w:r>
      <w:r>
        <w:t>in proposed approach.</w:t>
      </w:r>
    </w:p>
    <w:p w14:paraId="384261F0" w14:textId="77777777" w:rsidR="00505281" w:rsidRDefault="00505281" w:rsidP="00317CF7"/>
    <w:p w14:paraId="65B40AE1" w14:textId="5CD761CA" w:rsidR="00505281" w:rsidRDefault="00505281" w:rsidP="006E7A4A">
      <w:pPr>
        <w:pStyle w:val="ListParagraph"/>
        <w:numPr>
          <w:ilvl w:val="0"/>
          <w:numId w:val="9"/>
        </w:numPr>
        <w:contextualSpacing/>
      </w:pPr>
      <w:r>
        <w:t xml:space="preserve">Cost (Weight/Value - </w:t>
      </w:r>
      <w:r w:rsidR="00975782">
        <w:t>40</w:t>
      </w:r>
      <w:r>
        <w:t xml:space="preserve">%) </w:t>
      </w:r>
      <w:r w:rsidRPr="004107C2">
        <w:t xml:space="preserve">– </w:t>
      </w:r>
      <w:r>
        <w:t>The competitiveness of the proposed fees.</w:t>
      </w:r>
    </w:p>
    <w:p w14:paraId="471239A5" w14:textId="3415C37A" w:rsidR="00505281" w:rsidRPr="003A7B96" w:rsidRDefault="00505281" w:rsidP="006E7A4A">
      <w:pPr>
        <w:pStyle w:val="NumList1"/>
        <w:numPr>
          <w:ilvl w:val="0"/>
          <w:numId w:val="9"/>
        </w:numPr>
        <w:rPr>
          <w:u w:val="single"/>
        </w:rPr>
      </w:pPr>
      <w:r>
        <w:t xml:space="preserve">Management (Weight/Value - </w:t>
      </w:r>
      <w:r w:rsidR="00975782">
        <w:t>2</w:t>
      </w:r>
      <w:r>
        <w:t xml:space="preserve">0%) </w:t>
      </w:r>
      <w:r w:rsidRPr="004107C2">
        <w:t>–</w:t>
      </w:r>
      <w:r>
        <w:t xml:space="preserve"> </w:t>
      </w:r>
      <w:r w:rsidRPr="004107C2">
        <w:t xml:space="preserve">The personnel, equipment, and facilities to provide </w:t>
      </w:r>
      <w:r>
        <w:t xml:space="preserve">timely access to </w:t>
      </w:r>
      <w:r w:rsidRPr="004107C2">
        <w:t xml:space="preserve">comprehensive </w:t>
      </w:r>
      <w:r>
        <w:t>actuarial consulting services for a plan of comparable size</w:t>
      </w:r>
      <w:r w:rsidRPr="004107C2">
        <w:t xml:space="preserve">; the ability to technically implement and maintain the </w:t>
      </w:r>
      <w:r>
        <w:t>structure</w:t>
      </w:r>
      <w:r w:rsidRPr="004107C2">
        <w:t xml:space="preserve"> </w:t>
      </w:r>
      <w:r>
        <w:t xml:space="preserve">and resources </w:t>
      </w:r>
      <w:r w:rsidRPr="004107C2">
        <w:t>for providing all services listed in this RFP</w:t>
      </w:r>
      <w:r>
        <w:t>, demonstrating</w:t>
      </w:r>
      <w:r w:rsidRPr="004107C2">
        <w:t xml:space="preserve"> where applicable</w:t>
      </w:r>
      <w:r>
        <w:t xml:space="preserve"> </w:t>
      </w:r>
      <w:r w:rsidRPr="004107C2">
        <w:t>the ability to perform the service reflected by technical training, education and general experience of staff</w:t>
      </w:r>
      <w:r>
        <w:t xml:space="preserve"> and a documented record of past performance of providing actuarial consulting services.  </w:t>
      </w:r>
    </w:p>
    <w:p w14:paraId="213A5BF7" w14:textId="6B086800" w:rsidR="00505281" w:rsidRPr="004107C2" w:rsidRDefault="00505281" w:rsidP="00317CF7">
      <w:pPr>
        <w:pStyle w:val="NumList1"/>
        <w:numPr>
          <w:ilvl w:val="0"/>
          <w:numId w:val="0"/>
        </w:numPr>
      </w:pPr>
      <w:r w:rsidRPr="004107C2">
        <w:t xml:space="preserve">Upon completion of the Analysis Phase, the evaluation committee will review and compare the numerical scores from among the remaining </w:t>
      </w:r>
      <w:r w:rsidR="00290BEC">
        <w:t xml:space="preserve">qualified </w:t>
      </w:r>
      <w:r>
        <w:rPr>
          <w:rFonts w:cs="Times New Roman"/>
        </w:rPr>
        <w:t>vendors</w:t>
      </w:r>
      <w:r w:rsidRPr="004107C2">
        <w:t xml:space="preserve"> in order to determine finalists. The top scoring </w:t>
      </w:r>
      <w:r>
        <w:rPr>
          <w:rFonts w:cs="Times New Roman"/>
        </w:rPr>
        <w:t>vendor</w:t>
      </w:r>
      <w:r w:rsidRPr="004107C2">
        <w:t xml:space="preserve">, as well as all other </w:t>
      </w:r>
      <w:r>
        <w:rPr>
          <w:rFonts w:cs="Times New Roman"/>
        </w:rPr>
        <w:t>vendor</w:t>
      </w:r>
      <w:r w:rsidRPr="004107C2">
        <w:t>s with scores with</w:t>
      </w:r>
      <w:r>
        <w:t>in</w:t>
      </w:r>
      <w:r w:rsidRPr="004107C2">
        <w:t xml:space="preserve"> ten points of the top scoring </w:t>
      </w:r>
      <w:r>
        <w:rPr>
          <w:rFonts w:cs="Times New Roman"/>
        </w:rPr>
        <w:t>vendor</w:t>
      </w:r>
      <w:r w:rsidRPr="004107C2">
        <w:t xml:space="preserve">, will be named as finalists and will be further evaluated. </w:t>
      </w:r>
    </w:p>
    <w:p w14:paraId="7FED25DB" w14:textId="77777777" w:rsidR="006E7A4A" w:rsidRDefault="006E7A4A" w:rsidP="00317CF7">
      <w:pPr>
        <w:jc w:val="both"/>
        <w:rPr>
          <w:b/>
        </w:rPr>
      </w:pPr>
    </w:p>
    <w:p w14:paraId="6C6AB667" w14:textId="77777777" w:rsidR="006E7A4A" w:rsidRDefault="006E7A4A" w:rsidP="00317CF7">
      <w:pPr>
        <w:jc w:val="both"/>
        <w:rPr>
          <w:b/>
        </w:rPr>
      </w:pPr>
    </w:p>
    <w:p w14:paraId="56E6D138" w14:textId="0F4F3E2B" w:rsidR="00505281" w:rsidRDefault="00505281" w:rsidP="00317CF7">
      <w:pPr>
        <w:jc w:val="both"/>
      </w:pPr>
      <w:r w:rsidRPr="004107C2">
        <w:rPr>
          <w:b/>
        </w:rPr>
        <w:t>Finalist Phase</w:t>
      </w:r>
      <w:r w:rsidRPr="004107C2">
        <w:t xml:space="preserve"> – In this phase of the evaluation process, the evaluation committee will seek to determine from am</w:t>
      </w:r>
      <w:r>
        <w:t>ong the finalists whose proposal</w:t>
      </w:r>
      <w:r w:rsidRPr="004107C2">
        <w:t xml:space="preserve"> is the most advantageous to the Board</w:t>
      </w:r>
      <w:r w:rsidR="001A26ED">
        <w:t xml:space="preserve"> and/or DFA</w:t>
      </w:r>
      <w:r w:rsidRPr="004107C2">
        <w:t xml:space="preserve">. </w:t>
      </w:r>
      <w:r>
        <w:t xml:space="preserve">Points may be awarded or deducted as part of the finalist evaluation process based on the finalist presentation. </w:t>
      </w:r>
      <w:r w:rsidRPr="004107C2">
        <w:t>This phase consists of the following components:</w:t>
      </w:r>
    </w:p>
    <w:p w14:paraId="20F22687" w14:textId="79AF085C" w:rsidR="00975782" w:rsidRPr="001A26ED" w:rsidRDefault="00505281" w:rsidP="006E7A4A">
      <w:pPr>
        <w:pStyle w:val="NumList1"/>
        <w:numPr>
          <w:ilvl w:val="0"/>
          <w:numId w:val="10"/>
        </w:numPr>
        <w:rPr>
          <w:b/>
        </w:rPr>
      </w:pPr>
      <w:r w:rsidRPr="004107C2">
        <w:t xml:space="preserve">Record of Past Performance of </w:t>
      </w:r>
      <w:r>
        <w:t>S</w:t>
      </w:r>
      <w:r w:rsidRPr="004107C2">
        <w:t xml:space="preserve">imilar </w:t>
      </w:r>
      <w:r>
        <w:t>W</w:t>
      </w:r>
      <w:r w:rsidRPr="004107C2">
        <w:t xml:space="preserve">ork </w:t>
      </w:r>
      <w:r w:rsidR="00975782" w:rsidRPr="004107C2">
        <w:t xml:space="preserve">(Experience and Qualifications) – </w:t>
      </w:r>
      <w:r w:rsidR="00975782">
        <w:t xml:space="preserve">From among the finalists, </w:t>
      </w:r>
      <w:r w:rsidR="00975782">
        <w:rPr>
          <w:rFonts w:cs="Times New Roman"/>
        </w:rPr>
        <w:t>client</w:t>
      </w:r>
      <w:r w:rsidR="00975782">
        <w:t xml:space="preserve"> references will be contacted to </w:t>
      </w:r>
      <w:r w:rsidR="00975782" w:rsidRPr="00A44FD2">
        <w:t xml:space="preserve">verify demonstration of an acceptable level of </w:t>
      </w:r>
      <w:r w:rsidR="00975782">
        <w:t xml:space="preserve">past </w:t>
      </w:r>
      <w:r w:rsidR="00975782" w:rsidRPr="00A44FD2">
        <w:t xml:space="preserve">performance for programs of a similar </w:t>
      </w:r>
      <w:r w:rsidR="001A26ED">
        <w:t>size and complexity as the Trust and the Fund</w:t>
      </w:r>
      <w:r w:rsidR="00975782" w:rsidRPr="00A44FD2">
        <w:t>.</w:t>
      </w:r>
      <w:r w:rsidR="00975782">
        <w:t xml:space="preserve">  </w:t>
      </w:r>
      <w:r w:rsidR="00975782" w:rsidRPr="001A26ED">
        <w:rPr>
          <w:b/>
        </w:rPr>
        <w:t>Weight/Value – This component of the evaluation is considered pass/fail.</w:t>
      </w:r>
    </w:p>
    <w:p w14:paraId="12099072" w14:textId="4C8838A6" w:rsidR="00505281" w:rsidRPr="00975782" w:rsidRDefault="00505281" w:rsidP="006E7A4A">
      <w:pPr>
        <w:pStyle w:val="NumList1"/>
        <w:numPr>
          <w:ilvl w:val="0"/>
          <w:numId w:val="10"/>
        </w:numPr>
        <w:rPr>
          <w:b/>
        </w:rPr>
      </w:pPr>
      <w:r w:rsidRPr="004107C2">
        <w:t xml:space="preserve">Finalist </w:t>
      </w:r>
      <w:r>
        <w:t>P</w:t>
      </w:r>
      <w:r w:rsidRPr="004107C2">
        <w:t>resentation</w:t>
      </w:r>
      <w:r>
        <w:t>s</w:t>
      </w:r>
      <w:r w:rsidRPr="004107C2">
        <w:t xml:space="preserve"> – </w:t>
      </w:r>
      <w:r>
        <w:t>I</w:t>
      </w:r>
      <w:r w:rsidRPr="004107C2">
        <w:t xml:space="preserve">ndividual finalist presentations </w:t>
      </w:r>
      <w:r>
        <w:t xml:space="preserve">will be </w:t>
      </w:r>
      <w:r w:rsidRPr="004107C2">
        <w:t>hel</w:t>
      </w:r>
      <w:r>
        <w:t xml:space="preserve">d </w:t>
      </w:r>
      <w:r w:rsidRPr="004107C2">
        <w:t xml:space="preserve">in Jackson, Mississippi, to allow </w:t>
      </w:r>
      <w:r>
        <w:t xml:space="preserve">the evaluation committee </w:t>
      </w:r>
      <w:r w:rsidRPr="004107C2">
        <w:t xml:space="preserve">the opportunity to conduct technical interviews of the </w:t>
      </w:r>
      <w:r w:rsidRPr="00975782">
        <w:rPr>
          <w:rFonts w:cs="Times New Roman"/>
        </w:rPr>
        <w:t>finalists</w:t>
      </w:r>
      <w:r w:rsidRPr="004107C2">
        <w:t xml:space="preserve">, and to confirm/clarify information provided in the submitted proposals or otherwise gathered during the evaluation process. </w:t>
      </w:r>
      <w:r w:rsidRPr="00975782">
        <w:rPr>
          <w:b/>
        </w:rPr>
        <w:t xml:space="preserve">Weight/Value – A maximum of 5 points may be added to or subtracted from the finalist’s numerical score derived from the Analysis Phase. </w:t>
      </w:r>
    </w:p>
    <w:p w14:paraId="13F71E36" w14:textId="6F9B29BB" w:rsidR="00505281" w:rsidRPr="00BB6F0E" w:rsidRDefault="00505281" w:rsidP="006E7A4A">
      <w:pPr>
        <w:pStyle w:val="NumList1"/>
        <w:numPr>
          <w:ilvl w:val="0"/>
          <w:numId w:val="10"/>
        </w:numPr>
      </w:pPr>
      <w:r w:rsidRPr="004107C2">
        <w:t>Best and Final Offer</w:t>
      </w:r>
      <w:r>
        <w:t xml:space="preserve"> </w:t>
      </w:r>
      <w:r w:rsidRPr="004107C2">
        <w:t xml:space="preserve">– </w:t>
      </w:r>
      <w:r>
        <w:t>A</w:t>
      </w:r>
      <w:r w:rsidRPr="004107C2">
        <w:t xml:space="preserve">t </w:t>
      </w:r>
      <w:r w:rsidR="00437E58" w:rsidRPr="00914A1B">
        <w:t>DFA</w:t>
      </w:r>
      <w:r w:rsidRPr="004107C2">
        <w:t xml:space="preserve">’s discretion, all finalists may be given the opportunity to provide a “best and final offer” relative </w:t>
      </w:r>
      <w:r w:rsidR="001A26ED">
        <w:t xml:space="preserve">to their financial proposal. </w:t>
      </w:r>
      <w:r w:rsidR="00437E58" w:rsidRPr="00914A1B">
        <w:t>DFA</w:t>
      </w:r>
      <w:r w:rsidRPr="004107C2">
        <w:t xml:space="preserve"> will notify finalists if a “best and final offer” may be submitted, and will establish a date and time for submission.  Although a finalist is under no obligation to submit such an offer, an</w:t>
      </w:r>
      <w:r w:rsidR="00C275B2">
        <w:t>y</w:t>
      </w:r>
      <w:r w:rsidRPr="004107C2">
        <w:t xml:space="preserve"> such “best and final” offer should include any applicable revised financial exhibits an</w:t>
      </w:r>
      <w:r w:rsidR="00C275B2">
        <w:t>d</w:t>
      </w:r>
      <w:r w:rsidRPr="004107C2">
        <w:t xml:space="preserve"> must be sign</w:t>
      </w:r>
      <w:r w:rsidR="00284FAE">
        <w:t>ed</w:t>
      </w:r>
      <w:r w:rsidRPr="004107C2">
        <w:t xml:space="preserve"> by an appropriate representative of </w:t>
      </w:r>
      <w:r>
        <w:t>your</w:t>
      </w:r>
      <w:r w:rsidRPr="004107C2">
        <w:t xml:space="preserve"> </w:t>
      </w:r>
      <w:r>
        <w:rPr>
          <w:rFonts w:cs="Times New Roman"/>
        </w:rPr>
        <w:t>firm</w:t>
      </w:r>
      <w:r w:rsidR="00C275B2">
        <w:t xml:space="preserve">.  If a finalist chooses </w:t>
      </w:r>
      <w:r w:rsidR="004A1278">
        <w:t xml:space="preserve">to </w:t>
      </w:r>
      <w:r w:rsidRPr="004107C2">
        <w:t xml:space="preserve">not make a “best and final offer”, the financial proposal included in </w:t>
      </w:r>
      <w:r>
        <w:t>your</w:t>
      </w:r>
      <w:r w:rsidRPr="004107C2">
        <w:t xml:space="preserve"> </w:t>
      </w:r>
      <w:r>
        <w:rPr>
          <w:rFonts w:cs="Times New Roman"/>
        </w:rPr>
        <w:t>firm</w:t>
      </w:r>
      <w:r w:rsidRPr="004107C2">
        <w:t xml:space="preserve">’s response to the Request for Proposal will be considered as the “best and final offer”. NOTE: Unsolicited “best and final offers”, including but not limited to such offers submitted by non-finalists, will not be accepted. </w:t>
      </w:r>
      <w:r w:rsidRPr="004107C2">
        <w:rPr>
          <w:b/>
        </w:rPr>
        <w:t>Weight</w:t>
      </w:r>
      <w:r>
        <w:rPr>
          <w:b/>
        </w:rPr>
        <w:t>/Value</w:t>
      </w:r>
      <w:r w:rsidRPr="004107C2">
        <w:rPr>
          <w:b/>
        </w:rPr>
        <w:t xml:space="preserve"> – </w:t>
      </w:r>
      <w:r>
        <w:rPr>
          <w:b/>
        </w:rPr>
        <w:t>The</w:t>
      </w:r>
      <w:r w:rsidR="001A26ED">
        <w:rPr>
          <w:b/>
        </w:rPr>
        <w:t xml:space="preserve"> numerical scores for the Cost</w:t>
      </w:r>
      <w:r>
        <w:rPr>
          <w:b/>
        </w:rPr>
        <w:t xml:space="preserve"> factor from the Analysis Phase will be adjusted for any</w:t>
      </w:r>
      <w:r w:rsidRPr="004107C2">
        <w:rPr>
          <w:b/>
        </w:rPr>
        <w:t xml:space="preserve"> “best and final offer” </w:t>
      </w:r>
      <w:r>
        <w:rPr>
          <w:b/>
        </w:rPr>
        <w:t>received from a finalist.</w:t>
      </w:r>
    </w:p>
    <w:p w14:paraId="30F997F8" w14:textId="0F9DA890" w:rsidR="00437E58" w:rsidRPr="00437E58" w:rsidRDefault="00437E58" w:rsidP="006E7A4A">
      <w:pPr>
        <w:pStyle w:val="NumList1"/>
        <w:numPr>
          <w:ilvl w:val="0"/>
          <w:numId w:val="10"/>
        </w:numPr>
        <w:spacing w:before="0" w:after="0"/>
        <w:ind w:left="720"/>
        <w:rPr>
          <w:strike/>
        </w:rPr>
      </w:pPr>
      <w:r w:rsidRPr="00BB6F0E">
        <w:t xml:space="preserve">Upon completion of the evaluation of proposals, the evaluation committee will determine the top scoring proposal and provide a recommendation to the Board.  The Board will make a determination as to the proposal deemed most advantageous to the </w:t>
      </w:r>
      <w:r w:rsidRPr="00071BD6">
        <w:t xml:space="preserve">Board and will authorize </w:t>
      </w:r>
      <w:r w:rsidR="00023738">
        <w:t xml:space="preserve">DFA to conduct </w:t>
      </w:r>
      <w:r w:rsidRPr="00071BD6">
        <w:t>contract negotiations with the successful vendor. Subsequent to such authoriz</w:t>
      </w:r>
      <w:r w:rsidRPr="00BB6F0E">
        <w:t xml:space="preserve">ation by the Board, all proposing </w:t>
      </w:r>
      <w:r>
        <w:rPr>
          <w:rFonts w:cs="Times New Roman"/>
        </w:rPr>
        <w:t>vendors</w:t>
      </w:r>
      <w:r w:rsidRPr="00BB6F0E">
        <w:t xml:space="preserve"> will be notified in writing of the contract award and will be afforded the opportunity to participate in a post-award debriefing.  </w:t>
      </w:r>
    </w:p>
    <w:p w14:paraId="6A6202A4" w14:textId="77777777" w:rsidR="00437E58" w:rsidRPr="0085652C" w:rsidRDefault="00437E58" w:rsidP="00317CF7">
      <w:pPr>
        <w:pStyle w:val="NumList1"/>
        <w:numPr>
          <w:ilvl w:val="0"/>
          <w:numId w:val="0"/>
        </w:numPr>
        <w:spacing w:before="0" w:after="0"/>
        <w:ind w:left="720"/>
        <w:rPr>
          <w:strike/>
        </w:rPr>
      </w:pPr>
    </w:p>
    <w:p w14:paraId="7615CD6B" w14:textId="3909B3CF" w:rsidR="00D1375F" w:rsidRDefault="00F01679" w:rsidP="00317CF7">
      <w:pPr>
        <w:pStyle w:val="Heading2"/>
        <w:numPr>
          <w:ilvl w:val="1"/>
          <w:numId w:val="1"/>
        </w:numPr>
        <w:ind w:left="418" w:hanging="418"/>
        <w:jc w:val="both"/>
        <w:rPr>
          <w:sz w:val="24"/>
        </w:rPr>
      </w:pPr>
      <w:bookmarkStart w:id="17" w:name="_Toc3360015"/>
      <w:r w:rsidRPr="00D1375F">
        <w:rPr>
          <w:sz w:val="24"/>
        </w:rPr>
        <w:t>Post-Award Vendor Debriefing</w:t>
      </w:r>
      <w:bookmarkEnd w:id="17"/>
      <w:r w:rsidR="00D1375F" w:rsidRPr="00D1375F">
        <w:rPr>
          <w:sz w:val="24"/>
        </w:rPr>
        <w:t xml:space="preserve"> </w:t>
      </w:r>
    </w:p>
    <w:p w14:paraId="657F0686" w14:textId="6757864B" w:rsidR="009E5C76" w:rsidRDefault="009E5C76" w:rsidP="00317CF7">
      <w:pPr>
        <w:jc w:val="both"/>
        <w:rPr>
          <w:rStyle w:val="Hyperlink"/>
        </w:rPr>
      </w:pPr>
      <w:r>
        <w:t xml:space="preserve">Subsequent to the contract award, any proposing </w:t>
      </w:r>
      <w:r w:rsidRPr="004107C2">
        <w:t xml:space="preserve">vendor may request a post-award debriefing, in writing, by U. S. mail or electronic submission. The request must be made within three (3) business days of notification of the contract award. A debriefing is a meeting and not a hearing. Therefore, legal representation is not required. Should the vendor prefer to have legal representation present, the vendor must notify DFA and identify the </w:t>
      </w:r>
      <w:proofErr w:type="gramStart"/>
      <w:r w:rsidRPr="004107C2">
        <w:t>attorney.</w:t>
      </w:r>
      <w:proofErr w:type="gramEnd"/>
      <w:r w:rsidRPr="004107C2">
        <w:t xml:space="preserve"> FA shall be allowed to schedule and/or suspend and reschedule the debriefing at a time when a representative </w:t>
      </w:r>
      <w:r>
        <w:t>from</w:t>
      </w:r>
      <w:r w:rsidRPr="004107C2">
        <w:t xml:space="preserve"> the Office of the Mississippi Attorney General</w:t>
      </w:r>
      <w:r>
        <w:t>’s office</w:t>
      </w:r>
      <w:r w:rsidRPr="004107C2">
        <w:t xml:space="preserve"> can be present. For additional information regarding the process and procedure for the Post-Award Vendor Debriefing, please refer to the </w:t>
      </w:r>
      <w:r>
        <w:t xml:space="preserve">Mississippi Public Procurement Review Board Office of Personal Service Contract Review’s website </w:t>
      </w:r>
      <w:r w:rsidRPr="004107C2">
        <w:t xml:space="preserve">at </w:t>
      </w:r>
      <w:hyperlink r:id="rId18" w:history="1">
        <w:r w:rsidRPr="00663797">
          <w:rPr>
            <w:rStyle w:val="Hyperlink"/>
          </w:rPr>
          <w:t>http://www.dfa.ms.gov/dfa-offices/personal-service-contract-review/pscrb-rules</w:t>
        </w:r>
      </w:hyperlink>
      <w:r w:rsidR="00B37F2C">
        <w:rPr>
          <w:rStyle w:val="Hyperlink"/>
        </w:rPr>
        <w:t>.</w:t>
      </w:r>
    </w:p>
    <w:p w14:paraId="47D22CF5" w14:textId="77777777" w:rsidR="006E7A4A" w:rsidRDefault="006E7A4A" w:rsidP="00317CF7">
      <w:pPr>
        <w:jc w:val="both"/>
        <w:rPr>
          <w:rStyle w:val="Hyperlink"/>
        </w:rPr>
      </w:pPr>
    </w:p>
    <w:p w14:paraId="65138A25" w14:textId="77777777" w:rsidR="006E7A4A" w:rsidRDefault="006E7A4A" w:rsidP="00317CF7">
      <w:pPr>
        <w:jc w:val="both"/>
        <w:rPr>
          <w:rStyle w:val="Hyperlink"/>
        </w:rPr>
      </w:pPr>
    </w:p>
    <w:p w14:paraId="39A790CC" w14:textId="77777777" w:rsidR="006E7A4A" w:rsidRDefault="006E7A4A" w:rsidP="00317CF7">
      <w:pPr>
        <w:jc w:val="both"/>
        <w:rPr>
          <w:rStyle w:val="Hyperlink"/>
        </w:rPr>
      </w:pPr>
    </w:p>
    <w:p w14:paraId="243E5A49" w14:textId="77777777" w:rsidR="00440908" w:rsidRPr="00BE764A" w:rsidRDefault="00440908" w:rsidP="00317CF7">
      <w:pPr>
        <w:jc w:val="both"/>
      </w:pPr>
    </w:p>
    <w:p w14:paraId="4C0AEF71" w14:textId="27350B92" w:rsidR="00D1375F" w:rsidRDefault="00F01679" w:rsidP="00317CF7">
      <w:pPr>
        <w:pStyle w:val="Heading2"/>
        <w:numPr>
          <w:ilvl w:val="1"/>
          <w:numId w:val="1"/>
        </w:numPr>
        <w:ind w:left="418" w:hanging="418"/>
        <w:jc w:val="both"/>
        <w:rPr>
          <w:sz w:val="24"/>
        </w:rPr>
      </w:pPr>
      <w:bookmarkStart w:id="18" w:name="_Toc3360016"/>
      <w:r w:rsidRPr="00D1375F">
        <w:rPr>
          <w:sz w:val="24"/>
        </w:rPr>
        <w:t>Right to Consider Historical Information</w:t>
      </w:r>
      <w:bookmarkEnd w:id="18"/>
      <w:r w:rsidR="00D1375F" w:rsidRPr="00D1375F">
        <w:rPr>
          <w:sz w:val="24"/>
        </w:rPr>
        <w:t xml:space="preserve"> </w:t>
      </w:r>
    </w:p>
    <w:p w14:paraId="5A909B4A" w14:textId="6D75FC3D" w:rsidR="00E32100" w:rsidRPr="004107C2" w:rsidRDefault="00437E58" w:rsidP="00317CF7">
      <w:pPr>
        <w:jc w:val="both"/>
      </w:pPr>
      <w:r w:rsidRPr="004107C2">
        <w:t>DFA</w:t>
      </w:r>
      <w:r w:rsidR="00E32100" w:rsidRPr="004107C2">
        <w:t xml:space="preserve"> reserves the right to consider historical information regarding the proposer, whether gained from the proposer’s proposal, conferences with the proposer, references, or any other source during the evaluation process. This may include, but is not limited to, information from any state or federal regulatory entity.</w:t>
      </w:r>
    </w:p>
    <w:p w14:paraId="78A24C88" w14:textId="77777777" w:rsidR="00BE764A" w:rsidRPr="00BE764A" w:rsidRDefault="00BE764A" w:rsidP="00317CF7">
      <w:pPr>
        <w:jc w:val="both"/>
      </w:pPr>
    </w:p>
    <w:p w14:paraId="055EF7C5" w14:textId="0457611B" w:rsidR="00F01679" w:rsidRDefault="00F01679" w:rsidP="00317CF7">
      <w:pPr>
        <w:pStyle w:val="Heading2"/>
        <w:numPr>
          <w:ilvl w:val="1"/>
          <w:numId w:val="1"/>
        </w:numPr>
        <w:ind w:left="418" w:hanging="418"/>
        <w:jc w:val="both"/>
        <w:rPr>
          <w:sz w:val="24"/>
        </w:rPr>
      </w:pPr>
      <w:bookmarkStart w:id="19" w:name="_Toc3360017"/>
      <w:r w:rsidRPr="00D1375F">
        <w:rPr>
          <w:sz w:val="24"/>
        </w:rPr>
        <w:t xml:space="preserve">Right to Reject, Cancel and/or Issue </w:t>
      </w:r>
      <w:proofErr w:type="gramStart"/>
      <w:r w:rsidRPr="00D1375F">
        <w:rPr>
          <w:sz w:val="24"/>
        </w:rPr>
        <w:t>Another</w:t>
      </w:r>
      <w:proofErr w:type="gramEnd"/>
      <w:r w:rsidRPr="00D1375F">
        <w:rPr>
          <w:sz w:val="24"/>
        </w:rPr>
        <w:t xml:space="preserve"> RFP</w:t>
      </w:r>
      <w:bookmarkEnd w:id="19"/>
    </w:p>
    <w:p w14:paraId="6EF7F123" w14:textId="4974E400" w:rsidR="00073380" w:rsidRDefault="00437E58" w:rsidP="00CB152E">
      <w:pPr>
        <w:jc w:val="both"/>
      </w:pPr>
      <w:r w:rsidRPr="004107C2">
        <w:t>DFA</w:t>
      </w:r>
      <w:r w:rsidR="00E32100" w:rsidRPr="004107C2">
        <w:t xml:space="preserve"> specifically reserves the right to reject any or all proposals received in response to the RFP, cancel the RFP in its entirety, or issue another RFP.</w:t>
      </w:r>
      <w:r w:rsidR="004769E9">
        <w:br w:type="page"/>
      </w:r>
      <w:bookmarkStart w:id="20" w:name="_Ref403654335"/>
      <w:bookmarkStart w:id="21" w:name="_Toc405463863"/>
      <w:bookmarkStart w:id="22" w:name="_Toc483321481"/>
      <w:bookmarkStart w:id="23" w:name="_Toc503790488"/>
    </w:p>
    <w:p w14:paraId="5DD90323" w14:textId="38EABD62" w:rsidR="00E96CED" w:rsidRDefault="003C5399" w:rsidP="00317CF7">
      <w:pPr>
        <w:pStyle w:val="Heading1"/>
        <w:rPr>
          <w:sz w:val="24"/>
        </w:rPr>
      </w:pPr>
      <w:bookmarkStart w:id="24" w:name="_Toc3360018"/>
      <w:r>
        <w:rPr>
          <w:sz w:val="24"/>
        </w:rPr>
        <w:t>Section</w:t>
      </w:r>
      <w:r w:rsidR="00E96CED" w:rsidRPr="003C5399">
        <w:rPr>
          <w:sz w:val="24"/>
        </w:rPr>
        <w:t xml:space="preserve"> 2. MINIMUM VENDOR REQUIREMENTS</w:t>
      </w:r>
      <w:bookmarkEnd w:id="20"/>
      <w:bookmarkEnd w:id="21"/>
      <w:bookmarkEnd w:id="22"/>
      <w:bookmarkEnd w:id="23"/>
      <w:bookmarkEnd w:id="24"/>
      <w:r w:rsidR="00E96CED" w:rsidRPr="003C5399">
        <w:rPr>
          <w:sz w:val="24"/>
        </w:rPr>
        <w:t xml:space="preserve"> </w:t>
      </w:r>
    </w:p>
    <w:p w14:paraId="7E5D3451" w14:textId="77777777" w:rsidR="003C5399" w:rsidRPr="003C5399" w:rsidRDefault="003C5399" w:rsidP="00317CF7"/>
    <w:p w14:paraId="4908569B" w14:textId="77777777" w:rsidR="00077C2F" w:rsidRDefault="00505281" w:rsidP="00077C2F">
      <w:pPr>
        <w:jc w:val="both"/>
        <w:rPr>
          <w:b/>
          <w:u w:val="single"/>
        </w:rPr>
      </w:pPr>
      <w:r w:rsidRPr="004107C2">
        <w:t xml:space="preserve">The following minimum vendor requirements are mandatory. Failure to meet any of these requirements will result in disqualification of the proposal submitted by your </w:t>
      </w:r>
      <w:r>
        <w:t>firm</w:t>
      </w:r>
      <w:r w:rsidRPr="004107C2">
        <w:t>.</w:t>
      </w:r>
      <w:r>
        <w:t xml:space="preserve">  </w:t>
      </w:r>
      <w:r w:rsidRPr="004107C2">
        <w:t xml:space="preserve">Please respond by restating each requirement, including the number, listed below with documentation that proves specifically how your </w:t>
      </w:r>
      <w:r>
        <w:t>firm</w:t>
      </w:r>
      <w:r w:rsidRPr="004107C2">
        <w:t xml:space="preserve"> meets that requirement. </w:t>
      </w:r>
      <w:r w:rsidRPr="00505281">
        <w:rPr>
          <w:bCs/>
        </w:rPr>
        <w:t xml:space="preserve">Note that for purposes of fulfilling the minimum vendor requirements, except as otherwise indicated, “Consulting </w:t>
      </w:r>
      <w:r w:rsidRPr="00360101">
        <w:t>Actuary</w:t>
      </w:r>
      <w:r w:rsidRPr="00505281">
        <w:rPr>
          <w:bCs/>
        </w:rPr>
        <w:t>” refers to the primary contracting actuary only</w:t>
      </w:r>
      <w:r w:rsidRPr="00BA2CA2">
        <w:t>. Please include</w:t>
      </w:r>
      <w:r w:rsidRPr="004107C2">
        <w:t xml:space="preserve"> in your responses the total number of years and types of experience of your </w:t>
      </w:r>
      <w:r>
        <w:t>firm</w:t>
      </w:r>
      <w:r w:rsidRPr="004107C2">
        <w:t xml:space="preserve">. If, in the opinion of the evaluation </w:t>
      </w:r>
      <w:r>
        <w:t>committee</w:t>
      </w:r>
      <w:r w:rsidRPr="004107C2">
        <w:t xml:space="preserve">, you fail to prove that your </w:t>
      </w:r>
      <w:r>
        <w:t>firm</w:t>
      </w:r>
      <w:r w:rsidRPr="004107C2">
        <w:t xml:space="preserve"> meets any of these minimum requirements, the proposal will be disqualified from further evaluation. </w:t>
      </w:r>
      <w:r>
        <w:t>If this happens, y</w:t>
      </w:r>
      <w:r w:rsidRPr="004107C2">
        <w:t xml:space="preserve">ou will be notified </w:t>
      </w:r>
      <w:r>
        <w:t xml:space="preserve">of the decision </w:t>
      </w:r>
      <w:r w:rsidRPr="004107C2">
        <w:t xml:space="preserve">and will have an opportunity to provide additional information to prove your </w:t>
      </w:r>
      <w:r>
        <w:t>firm</w:t>
      </w:r>
      <w:r w:rsidRPr="004107C2">
        <w:t xml:space="preserve"> does meet the minimum requirements.</w:t>
      </w:r>
      <w:r>
        <w:t xml:space="preserve">  It is incumbent upon the disqualified vendor to respond timely and completely </w:t>
      </w:r>
      <w:proofErr w:type="gramStart"/>
      <w:r>
        <w:t>to</w:t>
      </w:r>
      <w:proofErr w:type="gramEnd"/>
      <w:r>
        <w:t xml:space="preserve"> any such notice as unreasonable delays and/or non-responsive submissions may result in the disqualification being upheld without further review.</w:t>
      </w:r>
      <w:r w:rsidR="00077C2F">
        <w:t xml:space="preserve">  </w:t>
      </w:r>
      <w:r>
        <w:rPr>
          <w:b/>
          <w:u w:val="single"/>
        </w:rPr>
        <w:t xml:space="preserve">Please respond by restating each minimum vendor requirement and document how </w:t>
      </w:r>
      <w:r w:rsidRPr="00261598">
        <w:rPr>
          <w:b/>
          <w:u w:val="single"/>
        </w:rPr>
        <w:t>your firm</w:t>
      </w:r>
      <w:r>
        <w:rPr>
          <w:b/>
          <w:u w:val="single"/>
        </w:rPr>
        <w:t xml:space="preserve"> meets these minimum criteria.</w:t>
      </w:r>
    </w:p>
    <w:p w14:paraId="3C1A5B9B" w14:textId="5FEF47F5" w:rsidR="00505281" w:rsidRDefault="00505281" w:rsidP="00077C2F">
      <w:pPr>
        <w:jc w:val="both"/>
      </w:pPr>
      <w:r>
        <w:t xml:space="preserve">  </w:t>
      </w:r>
    </w:p>
    <w:p w14:paraId="0E77690D" w14:textId="6475AEF7" w:rsidR="00505281" w:rsidRDefault="00505281" w:rsidP="006E7A4A">
      <w:pPr>
        <w:pStyle w:val="ListNumber"/>
        <w:numPr>
          <w:ilvl w:val="0"/>
          <w:numId w:val="8"/>
        </w:numPr>
        <w:tabs>
          <w:tab w:val="left" w:pos="1260"/>
        </w:tabs>
        <w:contextualSpacing w:val="0"/>
        <w:jc w:val="both"/>
      </w:pPr>
      <w:r>
        <w:t xml:space="preserve">The </w:t>
      </w:r>
      <w:r w:rsidRPr="00D55898">
        <w:rPr>
          <w:b/>
          <w:u w:val="single"/>
        </w:rPr>
        <w:t>proposing vendor</w:t>
      </w:r>
      <w:r>
        <w:t xml:space="preserve"> must have </w:t>
      </w:r>
      <w:r w:rsidRPr="00D55898">
        <w:rPr>
          <w:b/>
        </w:rPr>
        <w:t>at leas</w:t>
      </w:r>
      <w:r w:rsidR="00171AE6" w:rsidRPr="00D55898">
        <w:rPr>
          <w:b/>
        </w:rPr>
        <w:t>t five (5) years</w:t>
      </w:r>
      <w:r w:rsidR="00171AE6">
        <w:t xml:space="preserve"> of experience </w:t>
      </w:r>
      <w:r w:rsidR="005B4E88">
        <w:t xml:space="preserve">as a vendor </w:t>
      </w:r>
      <w:r>
        <w:t xml:space="preserve">in providing the type and scope of actuarial consulting services </w:t>
      </w:r>
      <w:r w:rsidR="00171AE6">
        <w:t xml:space="preserve">for self-insured workers’ compensation programs </w:t>
      </w:r>
      <w:r>
        <w:t xml:space="preserve">to be procured through this competitive process.  The determination of the length of time an entity has provided these services will be based upon the initial date your firm established a contractual relationship to provide such actuarial consulting services.  The proposing vendor must provide sufficient detail to demonstrate it has significant experience in working with programs similar in size and complexity to the </w:t>
      </w:r>
      <w:r w:rsidR="00E1700D">
        <w:t>Trust</w:t>
      </w:r>
      <w:r>
        <w:t xml:space="preserve"> by providing a client reference(s).  For each client, please specify:</w:t>
      </w:r>
    </w:p>
    <w:p w14:paraId="673571BE" w14:textId="77777777" w:rsidR="00073380" w:rsidRDefault="00073380" w:rsidP="00073380">
      <w:pPr>
        <w:pStyle w:val="ListNumber"/>
        <w:numPr>
          <w:ilvl w:val="0"/>
          <w:numId w:val="0"/>
        </w:numPr>
        <w:tabs>
          <w:tab w:val="left" w:pos="1260"/>
        </w:tabs>
        <w:ind w:left="720"/>
        <w:contextualSpacing w:val="0"/>
        <w:jc w:val="both"/>
      </w:pPr>
    </w:p>
    <w:p w14:paraId="1605C8E1" w14:textId="77777777" w:rsidR="00505281" w:rsidRDefault="00505281" w:rsidP="006E7A4A">
      <w:pPr>
        <w:numPr>
          <w:ilvl w:val="1"/>
          <w:numId w:val="4"/>
        </w:numPr>
        <w:jc w:val="both"/>
      </w:pPr>
      <w:r>
        <w:t>Client name, include the name, title, address, e-mail address, and phone number of a person whom we may contact to confirm as needed,</w:t>
      </w:r>
    </w:p>
    <w:p w14:paraId="76F81935" w14:textId="76E7CC33" w:rsidR="00505281" w:rsidRDefault="00505281" w:rsidP="006E7A4A">
      <w:pPr>
        <w:numPr>
          <w:ilvl w:val="1"/>
          <w:numId w:val="4"/>
        </w:numPr>
        <w:jc w:val="both"/>
      </w:pPr>
      <w:r>
        <w:t xml:space="preserve">The type of work </w:t>
      </w:r>
      <w:r w:rsidR="00842E90">
        <w:t xml:space="preserve">the </w:t>
      </w:r>
      <w:r w:rsidR="00D55898">
        <w:t>your firm</w:t>
      </w:r>
      <w:r w:rsidR="00842E90">
        <w:t xml:space="preserve"> </w:t>
      </w:r>
      <w:r>
        <w:t>provided to the client,</w:t>
      </w:r>
    </w:p>
    <w:p w14:paraId="26EBEC4F" w14:textId="77777777" w:rsidR="00505281" w:rsidRDefault="00505281" w:rsidP="006E7A4A">
      <w:pPr>
        <w:numPr>
          <w:ilvl w:val="1"/>
          <w:numId w:val="4"/>
        </w:numPr>
        <w:jc w:val="both"/>
      </w:pPr>
      <w:r>
        <w:t>The number of covered lives in the client’s group,</w:t>
      </w:r>
    </w:p>
    <w:p w14:paraId="43D55576" w14:textId="7ECA3B09" w:rsidR="00505281" w:rsidRDefault="00505281" w:rsidP="006E7A4A">
      <w:pPr>
        <w:numPr>
          <w:ilvl w:val="1"/>
          <w:numId w:val="4"/>
        </w:numPr>
        <w:jc w:val="both"/>
      </w:pPr>
      <w:r>
        <w:t xml:space="preserve">Contract effective dates for the time period(s) </w:t>
      </w:r>
      <w:r w:rsidR="00D55898">
        <w:t>your firm</w:t>
      </w:r>
      <w:r>
        <w:t xml:space="preserve"> provided services to the client.</w:t>
      </w:r>
    </w:p>
    <w:p w14:paraId="774912EF" w14:textId="77777777" w:rsidR="002E3AF3" w:rsidRDefault="002E3AF3" w:rsidP="00317CF7">
      <w:pPr>
        <w:pStyle w:val="ListNumber"/>
        <w:numPr>
          <w:ilvl w:val="0"/>
          <w:numId w:val="0"/>
        </w:numPr>
        <w:tabs>
          <w:tab w:val="left" w:pos="1260"/>
        </w:tabs>
        <w:ind w:left="1260"/>
        <w:contextualSpacing w:val="0"/>
        <w:jc w:val="both"/>
      </w:pPr>
    </w:p>
    <w:p w14:paraId="2521F3FA" w14:textId="1CE9F940" w:rsidR="00F75E29" w:rsidRDefault="005B560A" w:rsidP="006E7A4A">
      <w:pPr>
        <w:pStyle w:val="ListNumber"/>
        <w:numPr>
          <w:ilvl w:val="0"/>
          <w:numId w:val="8"/>
        </w:numPr>
        <w:tabs>
          <w:tab w:val="left" w:pos="1260"/>
        </w:tabs>
        <w:contextualSpacing w:val="0"/>
        <w:jc w:val="both"/>
      </w:pPr>
      <w:r w:rsidRPr="001B28B2">
        <w:t xml:space="preserve">The </w:t>
      </w:r>
      <w:r w:rsidR="003E4133" w:rsidRPr="00727BC7">
        <w:rPr>
          <w:b/>
          <w:u w:val="single"/>
        </w:rPr>
        <w:t>individual</w:t>
      </w:r>
      <w:r w:rsidR="001B28B2">
        <w:t xml:space="preserve"> </w:t>
      </w:r>
      <w:r w:rsidRPr="001B28B2">
        <w:t xml:space="preserve">who will act as the Board’s primary contact </w:t>
      </w:r>
      <w:r w:rsidR="00152499">
        <w:t xml:space="preserve">for workers’ compensation actuarial services </w:t>
      </w:r>
      <w:r w:rsidRPr="001B28B2">
        <w:t>shall be, at a minimum, at the senior actuary level and shall have</w:t>
      </w:r>
      <w:r w:rsidR="00D55898">
        <w:t xml:space="preserve"> </w:t>
      </w:r>
      <w:r w:rsidRPr="00D55898">
        <w:rPr>
          <w:b/>
          <w:u w:val="single"/>
        </w:rPr>
        <w:t>at least six (6) years</w:t>
      </w:r>
      <w:r w:rsidRPr="001B28B2">
        <w:t xml:space="preserve"> of experience conducting and supervising independent actuarial services for self-insured workers’ compensation programs</w:t>
      </w:r>
      <w:r w:rsidR="00152499">
        <w:t xml:space="preserve">, of which </w:t>
      </w:r>
      <w:r w:rsidR="00152499" w:rsidRPr="00D55898">
        <w:rPr>
          <w:b/>
          <w:u w:val="single"/>
        </w:rPr>
        <w:t>at least four (4) years</w:t>
      </w:r>
      <w:r w:rsidR="00152499" w:rsidRPr="002E3AF3">
        <w:t xml:space="preserve"> </w:t>
      </w:r>
      <w:r w:rsidR="00152499">
        <w:t xml:space="preserve">consisting </w:t>
      </w:r>
      <w:r w:rsidR="00152499" w:rsidRPr="002E3AF3">
        <w:t>of direct experience in funding analyses and premium rate setting</w:t>
      </w:r>
      <w:r w:rsidR="00152499">
        <w:t xml:space="preserve">, and shall </w:t>
      </w:r>
      <w:r w:rsidR="00152499" w:rsidRPr="002E3AF3">
        <w:t xml:space="preserve">have </w:t>
      </w:r>
      <w:r w:rsidR="00152499">
        <w:t>direct experience in assisting in the selection of a third party claims administrator for a self-insured workers’ compensation plan</w:t>
      </w:r>
      <w:r w:rsidR="00152499" w:rsidRPr="002E3AF3">
        <w:t xml:space="preserve">.  </w:t>
      </w:r>
      <w:r w:rsidRPr="001B28B2">
        <w:t xml:space="preserve">This </w:t>
      </w:r>
      <w:r w:rsidR="001B28B2">
        <w:t xml:space="preserve">Consulting Actuary </w:t>
      </w:r>
      <w:r w:rsidRPr="001B28B2">
        <w:t xml:space="preserve">must </w:t>
      </w:r>
      <w:r w:rsidR="001B28B2">
        <w:t xml:space="preserve">be at a minimum a </w:t>
      </w:r>
      <w:r w:rsidRPr="001B28B2">
        <w:t>Fellow of the Casualty Actuarial Society; and, Member of the American Academy of Actuaries.</w:t>
      </w:r>
      <w:r w:rsidR="001B28B2">
        <w:t xml:space="preserve"> Copies of applicable certificates should be included in proposal.</w:t>
      </w:r>
      <w:r w:rsidR="00F75E29">
        <w:t xml:space="preserve"> </w:t>
      </w:r>
      <w:r w:rsidR="00077C2F" w:rsidRPr="00077C2F">
        <w:t xml:space="preserve">The proposing vendor must provide sufficient detail to demonstrate </w:t>
      </w:r>
      <w:r w:rsidR="00077C2F">
        <w:t xml:space="preserve">this Consulting Actuary </w:t>
      </w:r>
      <w:r w:rsidR="00077C2F" w:rsidRPr="00077C2F">
        <w:t xml:space="preserve">has significant experience in working with programs similar in size and complexity to the Trust by providing a client reference(s).  </w:t>
      </w:r>
      <w:r w:rsidR="00F75E29">
        <w:t>For each client, please specify:</w:t>
      </w:r>
    </w:p>
    <w:p w14:paraId="0859712D" w14:textId="77777777" w:rsidR="00073380" w:rsidRDefault="00073380" w:rsidP="00073380">
      <w:pPr>
        <w:pStyle w:val="ListNumber"/>
        <w:numPr>
          <w:ilvl w:val="0"/>
          <w:numId w:val="0"/>
        </w:numPr>
        <w:tabs>
          <w:tab w:val="left" w:pos="1260"/>
        </w:tabs>
        <w:ind w:left="720"/>
        <w:contextualSpacing w:val="0"/>
        <w:jc w:val="both"/>
      </w:pPr>
    </w:p>
    <w:p w14:paraId="2299883A" w14:textId="77777777" w:rsidR="00F75E29" w:rsidRDefault="00F75E29" w:rsidP="006E7A4A">
      <w:pPr>
        <w:numPr>
          <w:ilvl w:val="0"/>
          <w:numId w:val="12"/>
        </w:numPr>
        <w:jc w:val="both"/>
      </w:pPr>
      <w:r>
        <w:t>Client name, include the name, title, address, e-mail address, and phone number of a person whom we may contact to confirm as needed,</w:t>
      </w:r>
    </w:p>
    <w:p w14:paraId="770BDAB4" w14:textId="29CAE1B6" w:rsidR="00F75E29" w:rsidRDefault="00073380" w:rsidP="006E7A4A">
      <w:pPr>
        <w:numPr>
          <w:ilvl w:val="0"/>
          <w:numId w:val="12"/>
        </w:numPr>
        <w:jc w:val="both"/>
      </w:pPr>
      <w:r>
        <w:t>The type of work the Consulting Actuary</w:t>
      </w:r>
      <w:r w:rsidR="00F75E29">
        <w:t xml:space="preserve"> provided to the client,</w:t>
      </w:r>
    </w:p>
    <w:p w14:paraId="1CD23017" w14:textId="77777777" w:rsidR="00F75E29" w:rsidRDefault="00F75E29" w:rsidP="006E7A4A">
      <w:pPr>
        <w:numPr>
          <w:ilvl w:val="0"/>
          <w:numId w:val="12"/>
        </w:numPr>
        <w:jc w:val="both"/>
      </w:pPr>
      <w:r>
        <w:t>The number of covered lives in the client’s group,</w:t>
      </w:r>
    </w:p>
    <w:p w14:paraId="468BB035" w14:textId="421D6595" w:rsidR="00F75E29" w:rsidRDefault="00F75E29" w:rsidP="006E7A4A">
      <w:pPr>
        <w:numPr>
          <w:ilvl w:val="0"/>
          <w:numId w:val="12"/>
        </w:numPr>
        <w:jc w:val="both"/>
      </w:pPr>
      <w:r>
        <w:t xml:space="preserve">Contract effective dates for the time period(s) </w:t>
      </w:r>
      <w:r w:rsidR="00073380">
        <w:t>the Consulting Actuary</w:t>
      </w:r>
      <w:r>
        <w:t xml:space="preserve"> provided services to the client.</w:t>
      </w:r>
    </w:p>
    <w:p w14:paraId="08B6C879" w14:textId="77777777" w:rsidR="00073380" w:rsidRDefault="00073380" w:rsidP="00317CF7">
      <w:pPr>
        <w:pStyle w:val="ListNumber"/>
        <w:numPr>
          <w:ilvl w:val="0"/>
          <w:numId w:val="0"/>
        </w:numPr>
        <w:tabs>
          <w:tab w:val="left" w:pos="1260"/>
        </w:tabs>
        <w:ind w:left="1260"/>
        <w:contextualSpacing w:val="0"/>
        <w:jc w:val="both"/>
      </w:pPr>
    </w:p>
    <w:p w14:paraId="2121D234" w14:textId="5F021BAE" w:rsidR="00077C2F" w:rsidRPr="00077C2F" w:rsidRDefault="00387E4B" w:rsidP="006E7A4A">
      <w:pPr>
        <w:pStyle w:val="ListParagraph"/>
        <w:numPr>
          <w:ilvl w:val="0"/>
          <w:numId w:val="8"/>
        </w:numPr>
        <w:jc w:val="both"/>
      </w:pPr>
      <w:r w:rsidRPr="002E3AF3">
        <w:t xml:space="preserve">The </w:t>
      </w:r>
      <w:r w:rsidR="003E4133" w:rsidRPr="00077C2F">
        <w:rPr>
          <w:b/>
          <w:u w:val="single"/>
        </w:rPr>
        <w:t>individual</w:t>
      </w:r>
      <w:r w:rsidR="003E4133">
        <w:t xml:space="preserve"> </w:t>
      </w:r>
      <w:r w:rsidRPr="002E3AF3">
        <w:t xml:space="preserve">who will act as </w:t>
      </w:r>
      <w:r w:rsidR="00073380">
        <w:t>DFA</w:t>
      </w:r>
      <w:r w:rsidRPr="002E3AF3">
        <w:t xml:space="preserve">’s primary contact </w:t>
      </w:r>
      <w:r w:rsidR="00073380">
        <w:t xml:space="preserve">for employment compensation actuarial services </w:t>
      </w:r>
      <w:r w:rsidRPr="002E3AF3">
        <w:t xml:space="preserve">shall have </w:t>
      </w:r>
      <w:r w:rsidR="00077C2F">
        <w:t xml:space="preserve">at least </w:t>
      </w:r>
      <w:r w:rsidR="00077C2F" w:rsidRPr="00077C2F">
        <w:rPr>
          <w:b/>
          <w:u w:val="single"/>
        </w:rPr>
        <w:t>at least four (4) years</w:t>
      </w:r>
      <w:r w:rsidR="00077C2F" w:rsidRPr="002E3AF3">
        <w:t xml:space="preserve"> </w:t>
      </w:r>
      <w:r>
        <w:t xml:space="preserve">direct experience in providing actuarial </w:t>
      </w:r>
      <w:r w:rsidR="00077C2F">
        <w:t xml:space="preserve">and funding </w:t>
      </w:r>
      <w:r>
        <w:t xml:space="preserve">analyses of unemployment </w:t>
      </w:r>
      <w:r w:rsidR="00077C2F">
        <w:t xml:space="preserve">compensation </w:t>
      </w:r>
      <w:r>
        <w:t>(or similar) funds</w:t>
      </w:r>
      <w:r w:rsidR="00077C2F">
        <w:t>.</w:t>
      </w:r>
      <w:r w:rsidR="002F4259">
        <w:t xml:space="preserve"> </w:t>
      </w:r>
      <w:r w:rsidR="00077C2F" w:rsidRPr="00077C2F">
        <w:t xml:space="preserve">This Consulting Actuary must be at a minimum a Fellow of the Casualty Actuarial Society; and, Member of the American Academy of Actuaries. Copies of applicable certificates should be included in the proposal. The proposing vendor must provide sufficient detail to demonstrate this Consulting Actuary has significant experience in working with programs similar in size and complexity to the </w:t>
      </w:r>
      <w:r w:rsidR="00077C2F">
        <w:t>Fund</w:t>
      </w:r>
      <w:r w:rsidR="00077C2F" w:rsidRPr="00077C2F">
        <w:t xml:space="preserve"> by providing a client reference(s).  For each client, please specify:</w:t>
      </w:r>
    </w:p>
    <w:p w14:paraId="14957AFD" w14:textId="77777777" w:rsidR="00077C2F" w:rsidRPr="00077C2F" w:rsidRDefault="00077C2F" w:rsidP="00077C2F">
      <w:pPr>
        <w:pStyle w:val="ListParagraph"/>
        <w:jc w:val="both"/>
      </w:pPr>
    </w:p>
    <w:p w14:paraId="0EB00186" w14:textId="77777777" w:rsidR="00DA5CB6" w:rsidRDefault="00DA5CB6" w:rsidP="006E7A4A">
      <w:pPr>
        <w:numPr>
          <w:ilvl w:val="1"/>
          <w:numId w:val="8"/>
        </w:numPr>
        <w:jc w:val="both"/>
      </w:pPr>
      <w:r>
        <w:t>Client name, include the name, title, address, e-mail address, and phone number of a person whom we may contact to confirm as needed,</w:t>
      </w:r>
    </w:p>
    <w:p w14:paraId="11371EA4" w14:textId="4A4E53E9" w:rsidR="00DA5CB6" w:rsidRDefault="00DA5CB6" w:rsidP="006E7A4A">
      <w:pPr>
        <w:numPr>
          <w:ilvl w:val="1"/>
          <w:numId w:val="8"/>
        </w:numPr>
        <w:jc w:val="both"/>
      </w:pPr>
      <w:r>
        <w:t xml:space="preserve">The type of work </w:t>
      </w:r>
      <w:r w:rsidR="00077C2F">
        <w:t>the Consulting Actuary</w:t>
      </w:r>
      <w:r>
        <w:t xml:space="preserve"> provided to the client,</w:t>
      </w:r>
    </w:p>
    <w:p w14:paraId="0A9F2C75" w14:textId="77777777" w:rsidR="00DA5CB6" w:rsidRDefault="00DA5CB6" w:rsidP="006E7A4A">
      <w:pPr>
        <w:numPr>
          <w:ilvl w:val="1"/>
          <w:numId w:val="8"/>
        </w:numPr>
        <w:jc w:val="both"/>
      </w:pPr>
      <w:r>
        <w:t>The number of covered lives in the client’s group,</w:t>
      </w:r>
    </w:p>
    <w:p w14:paraId="79F66866" w14:textId="47043639" w:rsidR="00DA5CB6" w:rsidRDefault="00DA5CB6" w:rsidP="006E7A4A">
      <w:pPr>
        <w:numPr>
          <w:ilvl w:val="1"/>
          <w:numId w:val="8"/>
        </w:numPr>
        <w:jc w:val="both"/>
      </w:pPr>
      <w:r>
        <w:t xml:space="preserve">Contract effective dates for the time period(s) </w:t>
      </w:r>
      <w:r w:rsidR="00077C2F">
        <w:t>the Consulting Actuary</w:t>
      </w:r>
      <w:r>
        <w:t xml:space="preserve"> provided services to the client.</w:t>
      </w:r>
    </w:p>
    <w:p w14:paraId="044CF846" w14:textId="77777777" w:rsidR="00387E4B" w:rsidRPr="002E3AF3" w:rsidRDefault="00387E4B" w:rsidP="00317CF7">
      <w:pPr>
        <w:pStyle w:val="ListNumber"/>
        <w:numPr>
          <w:ilvl w:val="0"/>
          <w:numId w:val="0"/>
        </w:numPr>
        <w:tabs>
          <w:tab w:val="left" w:pos="1260"/>
        </w:tabs>
        <w:ind w:left="1260"/>
        <w:contextualSpacing w:val="0"/>
        <w:jc w:val="both"/>
      </w:pPr>
    </w:p>
    <w:p w14:paraId="601125DD" w14:textId="77777777" w:rsidR="00387E4B" w:rsidRPr="002E3AF3" w:rsidRDefault="00387E4B" w:rsidP="006E7A4A">
      <w:pPr>
        <w:pStyle w:val="ListNumber"/>
        <w:numPr>
          <w:ilvl w:val="0"/>
          <w:numId w:val="8"/>
        </w:numPr>
        <w:tabs>
          <w:tab w:val="left" w:pos="1260"/>
        </w:tabs>
        <w:contextualSpacing w:val="0"/>
        <w:jc w:val="both"/>
      </w:pPr>
      <w:r w:rsidRPr="002E3AF3">
        <w:t xml:space="preserve">The proposing </w:t>
      </w:r>
      <w:r>
        <w:t>firm</w:t>
      </w:r>
      <w:r w:rsidRPr="002E3AF3">
        <w:t xml:space="preserve"> must be an independent entity with no real or perceived conflicts of interest with regard to its relationship with the Mississippi Workers’ Compensation Commission, DFA, the Board, or with the Trust’s third-party claims administrator.  The proposing </w:t>
      </w:r>
      <w:r>
        <w:t>firm</w:t>
      </w:r>
      <w:r w:rsidRPr="002E3AF3">
        <w:t xml:space="preserve"> must provide sufficient detail to demonstrate its standing as an independent entity.</w:t>
      </w:r>
    </w:p>
    <w:p w14:paraId="1426550B" w14:textId="77777777" w:rsidR="00387E4B" w:rsidRDefault="00387E4B" w:rsidP="00317CF7">
      <w:pPr>
        <w:pStyle w:val="ListParagraph"/>
        <w:jc w:val="both"/>
      </w:pPr>
    </w:p>
    <w:p w14:paraId="6A25071D" w14:textId="0B6FCAF7" w:rsidR="00505281" w:rsidRDefault="00505281" w:rsidP="006E7A4A">
      <w:pPr>
        <w:pStyle w:val="ListParagraph"/>
        <w:numPr>
          <w:ilvl w:val="0"/>
          <w:numId w:val="8"/>
        </w:numPr>
        <w:jc w:val="both"/>
      </w:pPr>
      <w:r>
        <w:t xml:space="preserve">All services performed on behalf of the Board </w:t>
      </w:r>
      <w:r w:rsidR="00AF0184">
        <w:t xml:space="preserve">and DFA </w:t>
      </w:r>
      <w:r>
        <w:t xml:space="preserve">must be provided within the United States. </w:t>
      </w:r>
      <w:r w:rsidR="00AF0184">
        <w:t xml:space="preserve"> </w:t>
      </w:r>
      <w:r>
        <w:t xml:space="preserve">Please confirm. </w:t>
      </w:r>
    </w:p>
    <w:p w14:paraId="298ED6DA" w14:textId="77777777" w:rsidR="00505281" w:rsidRDefault="00505281" w:rsidP="00317CF7">
      <w:pPr>
        <w:pStyle w:val="ListParagraph"/>
      </w:pPr>
    </w:p>
    <w:p w14:paraId="67D53193" w14:textId="2DA11BB9" w:rsidR="00505281" w:rsidRDefault="00505281" w:rsidP="006E7A4A">
      <w:pPr>
        <w:pStyle w:val="ListParagraph"/>
        <w:numPr>
          <w:ilvl w:val="0"/>
          <w:numId w:val="8"/>
        </w:numPr>
        <w:jc w:val="both"/>
      </w:pPr>
      <w:r>
        <w:t xml:space="preserve">The </w:t>
      </w:r>
      <w:r w:rsidR="003E4133">
        <w:t>proposing organization</w:t>
      </w:r>
      <w:r>
        <w:t xml:space="preserve"> must comply as applicable with Mississippi Code Annotated §79-4-15.01 regarding authorization to transact business in Mississippi.</w:t>
      </w:r>
    </w:p>
    <w:p w14:paraId="4464559C" w14:textId="77777777" w:rsidR="00381311" w:rsidRDefault="00381311" w:rsidP="00317CF7">
      <w:pPr>
        <w:rPr>
          <w:b/>
          <w:bCs/>
        </w:rPr>
      </w:pPr>
      <w:r>
        <w:br w:type="page"/>
      </w:r>
    </w:p>
    <w:p w14:paraId="24DEC6D9" w14:textId="761FFE1B" w:rsidR="00E96CED" w:rsidRDefault="00E96CED" w:rsidP="00317CF7">
      <w:pPr>
        <w:pStyle w:val="Heading1"/>
        <w:rPr>
          <w:sz w:val="24"/>
        </w:rPr>
      </w:pPr>
      <w:bookmarkStart w:id="25" w:name="_Toc3360019"/>
      <w:r w:rsidRPr="00D1375F">
        <w:rPr>
          <w:sz w:val="24"/>
        </w:rPr>
        <w:t>Section 3. SCOPE OF SERVICES</w:t>
      </w:r>
      <w:bookmarkEnd w:id="25"/>
      <w:r>
        <w:rPr>
          <w:sz w:val="24"/>
        </w:rPr>
        <w:t xml:space="preserve"> </w:t>
      </w:r>
    </w:p>
    <w:p w14:paraId="19E47C01" w14:textId="77777777" w:rsidR="00C5673B" w:rsidRPr="00C5673B" w:rsidRDefault="00C5673B" w:rsidP="00C5673B"/>
    <w:p w14:paraId="3ABA701A" w14:textId="16BCAE8D" w:rsidR="00D21616" w:rsidRDefault="00D21616" w:rsidP="00317CF7">
      <w:pPr>
        <w:jc w:val="both"/>
      </w:pPr>
      <w:r w:rsidRPr="004107C2">
        <w:t xml:space="preserve">This section contains information on services </w:t>
      </w:r>
      <w:r>
        <w:t xml:space="preserve">and </w:t>
      </w:r>
      <w:r w:rsidRPr="004107C2">
        <w:t>procedures that the</w:t>
      </w:r>
      <w:r w:rsidR="00360101">
        <w:t xml:space="preserve"> </w:t>
      </w:r>
      <w:r w:rsidR="00AD4DBB">
        <w:rPr>
          <w:bCs/>
        </w:rPr>
        <w:t xml:space="preserve">Consulting </w:t>
      </w:r>
      <w:r w:rsidR="00AD4DBB" w:rsidRPr="00360101">
        <w:t>Actuary</w:t>
      </w:r>
      <w:r w:rsidR="00360101">
        <w:t xml:space="preserve"> </w:t>
      </w:r>
      <w:r w:rsidRPr="004107C2">
        <w:t>must provide, or adhere to, in servicing the Board’s account, either directly or through identified subcontractors. The descriptions are not all-inclusive, but are provided to alert you to services or procedures that may require additional planning or programming on your part. The following is a list of services the Board expects the successful proposer to provide.</w:t>
      </w:r>
    </w:p>
    <w:p w14:paraId="3D6C8FE5" w14:textId="77777777" w:rsidR="00D21616" w:rsidRPr="004107C2" w:rsidRDefault="00D21616" w:rsidP="00317CF7">
      <w:pPr>
        <w:jc w:val="both"/>
      </w:pPr>
    </w:p>
    <w:p w14:paraId="1D6B7235" w14:textId="5D5FD711" w:rsidR="00D21616" w:rsidRPr="00BA2CA2" w:rsidRDefault="00D21616" w:rsidP="00317CF7">
      <w:pPr>
        <w:jc w:val="both"/>
      </w:pPr>
      <w:r w:rsidRPr="004107C2">
        <w:t>Please respond by restating each service listed below, including the number, and confirm your intention to provide the service as described, respond by stating, “</w:t>
      </w:r>
      <w:r w:rsidRPr="004107C2">
        <w:rPr>
          <w:i/>
        </w:rPr>
        <w:t>Confirmed</w:t>
      </w:r>
      <w:r w:rsidRPr="004107C2">
        <w:t xml:space="preserve">”. If your </w:t>
      </w:r>
      <w:r w:rsidR="00B27EDB">
        <w:t>firm</w:t>
      </w:r>
      <w:r w:rsidRPr="004107C2">
        <w:t xml:space="preserve"> can provide the service, but not exactly as described, respond by stating, “</w:t>
      </w:r>
      <w:r w:rsidRPr="004107C2">
        <w:rPr>
          <w:i/>
        </w:rPr>
        <w:t>Confirmed, but with exceptions</w:t>
      </w:r>
      <w:r w:rsidRPr="004107C2">
        <w:t xml:space="preserve">”, and state the specific exceptions. If your </w:t>
      </w:r>
      <w:r w:rsidR="00B27EDB">
        <w:t>firm</w:t>
      </w:r>
      <w:r w:rsidRPr="004107C2">
        <w:t xml:space="preserve"> is currently unable to provide a listed service, respond by stating, “</w:t>
      </w:r>
      <w:r w:rsidRPr="004107C2">
        <w:rPr>
          <w:i/>
        </w:rPr>
        <w:t>Unable to provide this service</w:t>
      </w:r>
      <w:r w:rsidRPr="004107C2">
        <w:t xml:space="preserve">”. Any additional details regarding these services should be provided in your responses to the questionnaire, or as </w:t>
      </w:r>
      <w:r w:rsidRPr="00BA2CA2">
        <w:t>additional information included as an appendix to your proposal.</w:t>
      </w:r>
    </w:p>
    <w:p w14:paraId="117F263C" w14:textId="77777777" w:rsidR="00E96CED" w:rsidRPr="00E96CED" w:rsidRDefault="00E96CED" w:rsidP="00317CF7">
      <w:pPr>
        <w:jc w:val="both"/>
      </w:pPr>
    </w:p>
    <w:p w14:paraId="666B9E5B" w14:textId="77777777" w:rsidR="002862EE" w:rsidRDefault="002862EE" w:rsidP="00317CF7">
      <w:pPr>
        <w:jc w:val="both"/>
      </w:pPr>
      <w:r>
        <w:t xml:space="preserve">The </w:t>
      </w:r>
      <w:r>
        <w:rPr>
          <w:bCs/>
        </w:rPr>
        <w:t xml:space="preserve">Consulting </w:t>
      </w:r>
      <w:r w:rsidRPr="00360101">
        <w:t>Actuary</w:t>
      </w:r>
      <w:r>
        <w:t xml:space="preserve"> is expected to provide the following services:</w:t>
      </w:r>
    </w:p>
    <w:p w14:paraId="49A6FB8C" w14:textId="77777777" w:rsidR="002862EE" w:rsidRDefault="002862EE" w:rsidP="00317CF7">
      <w:pPr>
        <w:jc w:val="both"/>
      </w:pPr>
    </w:p>
    <w:p w14:paraId="260D18AE" w14:textId="77777777" w:rsidR="002862EE" w:rsidRPr="00375B09" w:rsidRDefault="002862EE" w:rsidP="006E7A4A">
      <w:pPr>
        <w:pStyle w:val="ListParagraph"/>
        <w:numPr>
          <w:ilvl w:val="0"/>
          <w:numId w:val="16"/>
        </w:numPr>
        <w:contextualSpacing/>
        <w:rPr>
          <w:b/>
        </w:rPr>
      </w:pPr>
      <w:r>
        <w:rPr>
          <w:b/>
        </w:rPr>
        <w:t xml:space="preserve">For the </w:t>
      </w:r>
      <w:r w:rsidRPr="00375B09">
        <w:rPr>
          <w:b/>
        </w:rPr>
        <w:t>Mississippi State Agencies Self-Insured Workers’ Compensation Trust:</w:t>
      </w:r>
    </w:p>
    <w:p w14:paraId="5F78977D" w14:textId="77777777" w:rsidR="002862EE" w:rsidRPr="001E0CE9" w:rsidRDefault="002862EE" w:rsidP="006E7A4A">
      <w:pPr>
        <w:pStyle w:val="ListNumber"/>
        <w:numPr>
          <w:ilvl w:val="1"/>
          <w:numId w:val="16"/>
        </w:numPr>
        <w:tabs>
          <w:tab w:val="left" w:pos="1440"/>
        </w:tabs>
        <w:spacing w:before="120" w:after="120"/>
        <w:contextualSpacing w:val="0"/>
        <w:jc w:val="both"/>
      </w:pPr>
      <w:r w:rsidRPr="00266A1A">
        <w:t>Provide</w:t>
      </w:r>
      <w:r w:rsidRPr="001E0CE9">
        <w:t xml:space="preserve"> an annual actuarial analysis of the Trust.  This analysis should include, but not necessarily be limited to, an estimate of claims liability including incurred but not reported claims, as well as recommendations for future funding.</w:t>
      </w:r>
    </w:p>
    <w:p w14:paraId="30586CCE" w14:textId="08026612" w:rsidR="002862EE" w:rsidRPr="001E0CE9" w:rsidRDefault="002862EE" w:rsidP="006E7A4A">
      <w:pPr>
        <w:pStyle w:val="ListNumber"/>
        <w:numPr>
          <w:ilvl w:val="1"/>
          <w:numId w:val="16"/>
        </w:numPr>
        <w:tabs>
          <w:tab w:val="left" w:pos="1440"/>
        </w:tabs>
        <w:spacing w:before="120" w:after="120"/>
        <w:contextualSpacing w:val="0"/>
        <w:jc w:val="both"/>
      </w:pPr>
      <w:r w:rsidRPr="001E0CE9">
        <w:t xml:space="preserve">Provide premium rate evaluations, including annually updating the rates and the rating base amounts.  Rather than using NCCI rates, the Trust has adopted a premium methodology which utilizes its members’ actual loss experience in establishing premium rates each year.  Using actual claims data from the Trust’s </w:t>
      </w:r>
      <w:r w:rsidRPr="00F118BA">
        <w:t>twenty-</w:t>
      </w:r>
      <w:r w:rsidR="00694947">
        <w:t>nine</w:t>
      </w:r>
      <w:r w:rsidRPr="001E0CE9">
        <w:t xml:space="preserve"> years of experience, the </w:t>
      </w:r>
      <w:r>
        <w:t>Consulting A</w:t>
      </w:r>
      <w:r w:rsidRPr="001E0CE9">
        <w:t>ctuary will be expected to annually perform the necessary analysis and provide the Trust with recommended individual composite rates for each participating agency.</w:t>
      </w:r>
    </w:p>
    <w:p w14:paraId="453CE827" w14:textId="77777777" w:rsidR="002862EE" w:rsidRPr="001E0CE9" w:rsidRDefault="002862EE" w:rsidP="006E7A4A">
      <w:pPr>
        <w:pStyle w:val="ListNumber"/>
        <w:numPr>
          <w:ilvl w:val="1"/>
          <w:numId w:val="16"/>
        </w:numPr>
        <w:tabs>
          <w:tab w:val="left" w:pos="1440"/>
        </w:tabs>
        <w:spacing w:before="120" w:after="120"/>
        <w:contextualSpacing w:val="0"/>
        <w:jc w:val="both"/>
      </w:pPr>
      <w:r w:rsidRPr="001E0CE9">
        <w:t>As requested by DFA on behalf of the Trust, provide assistance in preparation of a Request for Proposals (RFP) for procuring the third party claims administration contract, loss control contract, and other necessary contracts.</w:t>
      </w:r>
    </w:p>
    <w:p w14:paraId="4CA30386" w14:textId="77777777" w:rsidR="002862EE" w:rsidRPr="001E0CE9" w:rsidRDefault="002862EE" w:rsidP="006E7A4A">
      <w:pPr>
        <w:pStyle w:val="ListNumber"/>
        <w:numPr>
          <w:ilvl w:val="1"/>
          <w:numId w:val="16"/>
        </w:numPr>
        <w:tabs>
          <w:tab w:val="left" w:pos="1440"/>
        </w:tabs>
        <w:spacing w:before="120" w:after="120"/>
        <w:contextualSpacing w:val="0"/>
        <w:jc w:val="both"/>
      </w:pPr>
      <w:r w:rsidRPr="001E0CE9">
        <w:t>As requested by DFA on behalf of the Trust, review various reports submitted by the third party claims administrator and make suggestions on the format and content of the reports, with the overall purpose of making the reports useful and meaningful to the Trust.</w:t>
      </w:r>
    </w:p>
    <w:p w14:paraId="4C76BE5C" w14:textId="77777777" w:rsidR="00694947" w:rsidRPr="00694947" w:rsidRDefault="00694947" w:rsidP="006E7A4A">
      <w:pPr>
        <w:pStyle w:val="ListParagraph"/>
        <w:numPr>
          <w:ilvl w:val="1"/>
          <w:numId w:val="16"/>
        </w:numPr>
        <w:jc w:val="both"/>
      </w:pPr>
      <w:r w:rsidRPr="00694947">
        <w:t>As requested by DFA on behalf of the Trust, provide testimony to the Mississippi State Agencies Self-Insured Workers’ Compensation Board of Trustees, the Mississippi Workers' Compensation Commission, the State Legislature, and Trust members as needed.</w:t>
      </w:r>
    </w:p>
    <w:p w14:paraId="1ACADA90" w14:textId="77777777" w:rsidR="002862EE" w:rsidRDefault="002862EE" w:rsidP="006E7A4A">
      <w:pPr>
        <w:pStyle w:val="ListNumber"/>
        <w:numPr>
          <w:ilvl w:val="1"/>
          <w:numId w:val="16"/>
        </w:numPr>
        <w:tabs>
          <w:tab w:val="left" w:pos="1440"/>
        </w:tabs>
        <w:spacing w:before="120" w:after="120"/>
        <w:contextualSpacing w:val="0"/>
        <w:jc w:val="both"/>
      </w:pPr>
      <w:r w:rsidRPr="001E0CE9">
        <w:t xml:space="preserve">Maintain full and accurate records with respect to all matters covered under this Contract.  Additionally, upon request by DFA, the </w:t>
      </w:r>
      <w:r>
        <w:t xml:space="preserve">Consulting </w:t>
      </w:r>
      <w:r w:rsidRPr="001E0CE9">
        <w:t xml:space="preserve">Actuary shall provide </w:t>
      </w:r>
      <w:r>
        <w:t xml:space="preserve">copies of </w:t>
      </w:r>
      <w:r w:rsidRPr="001E0CE9">
        <w:t>all spreadsheets, assumptions, and calculations upon completion of any project approved by the DFA in a format acceptable to DFA.</w:t>
      </w:r>
    </w:p>
    <w:p w14:paraId="73F7D5ED" w14:textId="77777777" w:rsidR="00694947" w:rsidRPr="00694947" w:rsidRDefault="00694947" w:rsidP="006E7A4A">
      <w:pPr>
        <w:pStyle w:val="ListParagraph"/>
        <w:numPr>
          <w:ilvl w:val="1"/>
          <w:numId w:val="16"/>
        </w:numPr>
        <w:jc w:val="both"/>
      </w:pPr>
      <w:r w:rsidRPr="00694947">
        <w:t>As requested by DFA on behalf of the Trust, provide such advice and consultative services regarding issues and matters of impact or interest to the Trust, and for which the Consulting Actuary has the technical capability to render.</w:t>
      </w:r>
    </w:p>
    <w:p w14:paraId="732F7763" w14:textId="77777777" w:rsidR="002862EE" w:rsidRDefault="002862EE" w:rsidP="00694947">
      <w:pPr>
        <w:pStyle w:val="ListNumber"/>
        <w:numPr>
          <w:ilvl w:val="0"/>
          <w:numId w:val="0"/>
        </w:numPr>
        <w:tabs>
          <w:tab w:val="left" w:pos="1260"/>
        </w:tabs>
        <w:spacing w:before="120" w:after="120"/>
        <w:ind w:left="360" w:hanging="360"/>
        <w:contextualSpacing w:val="0"/>
        <w:jc w:val="both"/>
      </w:pPr>
    </w:p>
    <w:p w14:paraId="6298F8A1" w14:textId="77777777" w:rsidR="00D47B95" w:rsidRDefault="00D47B95" w:rsidP="00694947">
      <w:pPr>
        <w:pStyle w:val="ListNumber"/>
        <w:numPr>
          <w:ilvl w:val="0"/>
          <w:numId w:val="0"/>
        </w:numPr>
        <w:tabs>
          <w:tab w:val="left" w:pos="1260"/>
        </w:tabs>
        <w:spacing w:before="120" w:after="120"/>
        <w:ind w:left="360" w:hanging="360"/>
        <w:contextualSpacing w:val="0"/>
        <w:jc w:val="both"/>
      </w:pPr>
    </w:p>
    <w:p w14:paraId="7F041031" w14:textId="77777777" w:rsidR="002862EE" w:rsidRPr="00375B09" w:rsidRDefault="002862EE" w:rsidP="006E7A4A">
      <w:pPr>
        <w:pStyle w:val="ListParagraph"/>
        <w:numPr>
          <w:ilvl w:val="0"/>
          <w:numId w:val="16"/>
        </w:numPr>
        <w:contextualSpacing/>
        <w:rPr>
          <w:b/>
        </w:rPr>
      </w:pPr>
      <w:r>
        <w:rPr>
          <w:b/>
        </w:rPr>
        <w:t xml:space="preserve">For the </w:t>
      </w:r>
      <w:r w:rsidRPr="00375B09">
        <w:rPr>
          <w:b/>
        </w:rPr>
        <w:t>State Agencies Employment Compensation Revolving Fund:</w:t>
      </w:r>
    </w:p>
    <w:p w14:paraId="59EE121F" w14:textId="77777777" w:rsidR="002862EE" w:rsidRDefault="002862EE" w:rsidP="006E7A4A">
      <w:pPr>
        <w:pStyle w:val="ListNumber"/>
        <w:numPr>
          <w:ilvl w:val="1"/>
          <w:numId w:val="16"/>
        </w:numPr>
        <w:tabs>
          <w:tab w:val="left" w:pos="1530"/>
        </w:tabs>
        <w:spacing w:before="120" w:after="120"/>
        <w:contextualSpacing w:val="0"/>
        <w:jc w:val="both"/>
      </w:pPr>
      <w:r w:rsidRPr="001E0CE9">
        <w:t>Provide an annual actuarial analysis of the State Agencies Employment Compensation Revolving Fund.  This analysis should include, but not necessarily be limited to, an estimate of claims liability, as well as recommendations for future funding.</w:t>
      </w:r>
    </w:p>
    <w:p w14:paraId="1D3A25E0" w14:textId="77777777" w:rsidR="002862EE" w:rsidRPr="001E0CE9" w:rsidRDefault="002862EE" w:rsidP="006E7A4A">
      <w:pPr>
        <w:pStyle w:val="ListNumber"/>
        <w:numPr>
          <w:ilvl w:val="1"/>
          <w:numId w:val="16"/>
        </w:numPr>
        <w:tabs>
          <w:tab w:val="left" w:pos="1440"/>
        </w:tabs>
        <w:spacing w:before="120" w:after="120"/>
        <w:contextualSpacing w:val="0"/>
        <w:jc w:val="both"/>
      </w:pPr>
      <w:r w:rsidRPr="001E0CE9">
        <w:t xml:space="preserve">As requested by DFA, provide premium rate evaluations and recommendations.  Using claims and financial data provided by DFA, the </w:t>
      </w:r>
      <w:r>
        <w:t xml:space="preserve">Consulting </w:t>
      </w:r>
      <w:r w:rsidRPr="001E0CE9">
        <w:t xml:space="preserve">Actuary </w:t>
      </w:r>
      <w:r>
        <w:t>may</w:t>
      </w:r>
      <w:r w:rsidRPr="001E0CE9">
        <w:t xml:space="preserve"> be expected to annually perform the necessary analysis and provide funding recommendations.</w:t>
      </w:r>
    </w:p>
    <w:p w14:paraId="5722BA4D" w14:textId="77777777" w:rsidR="002862EE" w:rsidRDefault="002862EE" w:rsidP="006E7A4A">
      <w:pPr>
        <w:pStyle w:val="ListNumber"/>
        <w:numPr>
          <w:ilvl w:val="1"/>
          <w:numId w:val="16"/>
        </w:numPr>
        <w:tabs>
          <w:tab w:val="left" w:pos="1440"/>
        </w:tabs>
        <w:spacing w:before="120" w:after="120"/>
        <w:contextualSpacing w:val="0"/>
        <w:jc w:val="both"/>
      </w:pPr>
      <w:r w:rsidRPr="001E0CE9">
        <w:t>As requested by DFA, provide testimony to the Mississippi State Legislature or other regulatory committees as needed.</w:t>
      </w:r>
    </w:p>
    <w:p w14:paraId="6A5206F8" w14:textId="77777777" w:rsidR="002862EE" w:rsidRDefault="002862EE" w:rsidP="006E7A4A">
      <w:pPr>
        <w:pStyle w:val="ListNumber"/>
        <w:numPr>
          <w:ilvl w:val="1"/>
          <w:numId w:val="16"/>
        </w:numPr>
        <w:tabs>
          <w:tab w:val="left" w:pos="1440"/>
        </w:tabs>
        <w:spacing w:before="120" w:after="120"/>
        <w:contextualSpacing w:val="0"/>
        <w:jc w:val="both"/>
      </w:pPr>
      <w:r w:rsidRPr="001E0CE9">
        <w:t>Maintain full and accurate records with respect to all matters covered under this Contract.  Additionally, upon request, the Actuary shall provide DFA all spreadsheets, assumptions, and calculations upon completion of any project approved by DFA in a format acceptable to DFA.</w:t>
      </w:r>
    </w:p>
    <w:p w14:paraId="52F22BC1" w14:textId="77777777" w:rsidR="00694947" w:rsidRPr="00694947" w:rsidRDefault="00694947" w:rsidP="006E7A4A">
      <w:pPr>
        <w:pStyle w:val="ListParagraph"/>
        <w:numPr>
          <w:ilvl w:val="1"/>
          <w:numId w:val="16"/>
        </w:numPr>
        <w:jc w:val="both"/>
      </w:pPr>
      <w:r w:rsidRPr="00694947">
        <w:t>As requested by DFA, provide such advice and consultative services regarding issues and matters of impact or interest to the Fund, and for which the Consulting Actuary has the technical capability to render.</w:t>
      </w:r>
    </w:p>
    <w:p w14:paraId="67E2409E" w14:textId="77777777" w:rsidR="002862EE" w:rsidRDefault="002862EE" w:rsidP="00317CF7"/>
    <w:p w14:paraId="6DD5D625" w14:textId="77777777" w:rsidR="002862EE" w:rsidRDefault="002862EE" w:rsidP="006E7A4A">
      <w:pPr>
        <w:pStyle w:val="ListNumber2"/>
        <w:numPr>
          <w:ilvl w:val="0"/>
          <w:numId w:val="16"/>
        </w:numPr>
        <w:jc w:val="both"/>
      </w:pPr>
      <w:r>
        <w:t xml:space="preserve">Maintain, throughout the term of the contract, at its own expense, professional liability insurance.  Such policy of insurance shall provide a minimum coverage in the amount of One Million Dollars ($1,000,000) per occurrence and Three Million Dollars ($3,000,000) annual aggregate through an insurance company licensed by the Mississippi Department of Insurance.  The Consulting Actuary shall annually provide the Board a current Certificate of Insurance. The initial proof (certificate of coverage) reflecting the required insurance type and amounts shall be submitted to the Board within thirty (30) days of the date the contract is executed. </w:t>
      </w:r>
    </w:p>
    <w:p w14:paraId="36562ABF" w14:textId="77777777" w:rsidR="00E1700D" w:rsidRPr="002E3AF3" w:rsidRDefault="00E1700D" w:rsidP="00317CF7">
      <w:pPr>
        <w:pStyle w:val="ListNumber"/>
        <w:numPr>
          <w:ilvl w:val="0"/>
          <w:numId w:val="0"/>
        </w:numPr>
        <w:tabs>
          <w:tab w:val="left" w:pos="1260"/>
        </w:tabs>
        <w:contextualSpacing w:val="0"/>
        <w:jc w:val="both"/>
        <w:rPr>
          <w:rFonts w:cs="Arial"/>
        </w:rPr>
      </w:pPr>
    </w:p>
    <w:p w14:paraId="35359E4B" w14:textId="2E6A63DA" w:rsidR="00381311" w:rsidRDefault="00381311" w:rsidP="006E7A4A">
      <w:pPr>
        <w:pStyle w:val="ListNumber2"/>
        <w:numPr>
          <w:ilvl w:val="0"/>
          <w:numId w:val="16"/>
        </w:numPr>
        <w:jc w:val="both"/>
      </w:pPr>
      <w:r w:rsidRPr="00825C14">
        <w:t xml:space="preserve">It is mutually understood and agreed that </w:t>
      </w:r>
      <w:r>
        <w:t xml:space="preserve">the resulting </w:t>
      </w:r>
      <w:r w:rsidRPr="00825C14">
        <w:t>contract</w:t>
      </w:r>
      <w:r>
        <w:t xml:space="preserve"> is not exclusive and that </w:t>
      </w:r>
      <w:r w:rsidR="00AD112A">
        <w:t>DFA</w:t>
      </w:r>
      <w:r w:rsidRPr="00825C14">
        <w:t xml:space="preserve"> is free to contract with other professionals to perform similar and like services as those contained in this </w:t>
      </w:r>
      <w:r>
        <w:t>request for proposal</w:t>
      </w:r>
      <w:r w:rsidRPr="00825C14">
        <w:t xml:space="preserve">.  </w:t>
      </w:r>
    </w:p>
    <w:p w14:paraId="3DFC0F49" w14:textId="77777777" w:rsidR="00E1700D" w:rsidRPr="002E3AF3" w:rsidRDefault="00E1700D" w:rsidP="00317CF7">
      <w:pPr>
        <w:pStyle w:val="ListNumber"/>
        <w:numPr>
          <w:ilvl w:val="0"/>
          <w:numId w:val="0"/>
        </w:numPr>
        <w:tabs>
          <w:tab w:val="left" w:pos="1260"/>
        </w:tabs>
        <w:contextualSpacing w:val="0"/>
        <w:jc w:val="both"/>
      </w:pPr>
    </w:p>
    <w:p w14:paraId="3CC53853" w14:textId="6A48386E" w:rsidR="006960B9" w:rsidRDefault="006960B9" w:rsidP="00317CF7">
      <w:pPr>
        <w:rPr>
          <w:b/>
          <w:bCs/>
        </w:rPr>
      </w:pPr>
      <w:r>
        <w:br w:type="page"/>
      </w:r>
    </w:p>
    <w:p w14:paraId="48843744" w14:textId="0915C3CE" w:rsidR="00E96CED" w:rsidRDefault="00E96CED" w:rsidP="00317CF7">
      <w:pPr>
        <w:pStyle w:val="Heading1"/>
        <w:rPr>
          <w:sz w:val="24"/>
        </w:rPr>
      </w:pPr>
      <w:bookmarkStart w:id="26" w:name="_Toc3360020"/>
      <w:r>
        <w:rPr>
          <w:sz w:val="24"/>
        </w:rPr>
        <w:t xml:space="preserve">Section 4. </w:t>
      </w:r>
      <w:r w:rsidR="009E5C76">
        <w:rPr>
          <w:sz w:val="24"/>
        </w:rPr>
        <w:t xml:space="preserve">NARRATIVE </w:t>
      </w:r>
      <w:r>
        <w:rPr>
          <w:sz w:val="24"/>
        </w:rPr>
        <w:t>QUESTIONNAIRE</w:t>
      </w:r>
      <w:bookmarkEnd w:id="26"/>
    </w:p>
    <w:p w14:paraId="570E2B08" w14:textId="77777777" w:rsidR="0039499C" w:rsidRPr="00E10558" w:rsidRDefault="0039499C" w:rsidP="006E7A4A">
      <w:pPr>
        <w:pStyle w:val="NumList1"/>
        <w:numPr>
          <w:ilvl w:val="0"/>
          <w:numId w:val="20"/>
        </w:numPr>
      </w:pPr>
      <w:r w:rsidRPr="00E10558">
        <w:t>Provide the name, title, mailing address, e-mail address, and telephone number of the contact person for this proposal.</w:t>
      </w:r>
    </w:p>
    <w:p w14:paraId="5595A899" w14:textId="77777777" w:rsidR="0039499C" w:rsidRPr="004107C2" w:rsidRDefault="0039499C" w:rsidP="006E7A4A">
      <w:pPr>
        <w:pStyle w:val="NumList1"/>
        <w:numPr>
          <w:ilvl w:val="0"/>
          <w:numId w:val="20"/>
        </w:numPr>
      </w:pPr>
      <w:r w:rsidRPr="004107C2">
        <w:t xml:space="preserve">State the full name of your </w:t>
      </w:r>
      <w:r>
        <w:t>firm</w:t>
      </w:r>
      <w:r w:rsidRPr="004107C2">
        <w:t>, and provide the address, and telephone number of your principal place of business</w:t>
      </w:r>
      <w:r>
        <w:t xml:space="preserve">. </w:t>
      </w:r>
    </w:p>
    <w:p w14:paraId="6971D57D" w14:textId="04A5A6A9" w:rsidR="0039499C" w:rsidRPr="00153728" w:rsidRDefault="0039499C" w:rsidP="006E7A4A">
      <w:pPr>
        <w:pStyle w:val="NumList1"/>
        <w:numPr>
          <w:ilvl w:val="0"/>
          <w:numId w:val="20"/>
        </w:numPr>
      </w:pPr>
      <w:r w:rsidRPr="002F406F">
        <w:t>List the office that will service the Board</w:t>
      </w:r>
      <w:r w:rsidR="006629E6">
        <w:t xml:space="preserve"> and DFA</w:t>
      </w:r>
      <w:r w:rsidRPr="002F406F">
        <w:t>.  If it is located at a different address than the home office, provide the complete address, phone number, and facsimile number for this office.</w:t>
      </w:r>
    </w:p>
    <w:p w14:paraId="4F18096E" w14:textId="77777777" w:rsidR="0039499C" w:rsidRPr="00E10558" w:rsidRDefault="0039499C" w:rsidP="006E7A4A">
      <w:pPr>
        <w:pStyle w:val="NumList1"/>
        <w:numPr>
          <w:ilvl w:val="0"/>
          <w:numId w:val="20"/>
        </w:numPr>
      </w:pPr>
      <w:r w:rsidRPr="00E10558">
        <w:t xml:space="preserve">Describe your organizational structure. Indicate whether your </w:t>
      </w:r>
      <w:r>
        <w:t>firm</w:t>
      </w:r>
      <w:r w:rsidRPr="00E10558">
        <w:t xml:space="preserve"> operates as a corporation, partnership, individual, etc. If it is incorporated, include the state in which it is incorporated, and list the names and occupations of those individuals serving on your </w:t>
      </w:r>
      <w:r>
        <w:t>firm</w:t>
      </w:r>
      <w:r w:rsidRPr="00E10558">
        <w:t>’s Board of Directors.</w:t>
      </w:r>
    </w:p>
    <w:p w14:paraId="682EA5D0" w14:textId="77777777" w:rsidR="0039499C" w:rsidRPr="004107C2" w:rsidRDefault="0039499C" w:rsidP="006E7A4A">
      <w:pPr>
        <w:pStyle w:val="NumList1"/>
        <w:numPr>
          <w:ilvl w:val="0"/>
          <w:numId w:val="20"/>
        </w:numPr>
      </w:pPr>
      <w:r w:rsidRPr="004107C2">
        <w:t xml:space="preserve">List the name and principal occupation or business of any person or entity owning 10% or more of your </w:t>
      </w:r>
      <w:r>
        <w:t>firm</w:t>
      </w:r>
      <w:r w:rsidRPr="004107C2">
        <w:t>.</w:t>
      </w:r>
    </w:p>
    <w:p w14:paraId="609C0922" w14:textId="77777777" w:rsidR="0039499C" w:rsidRPr="004107C2" w:rsidRDefault="0039499C" w:rsidP="006E7A4A">
      <w:pPr>
        <w:pStyle w:val="NumList1"/>
        <w:numPr>
          <w:ilvl w:val="0"/>
          <w:numId w:val="20"/>
        </w:numPr>
      </w:pPr>
      <w:r>
        <w:t>D</w:t>
      </w:r>
      <w:r w:rsidRPr="004107C2">
        <w:t xml:space="preserve">escribe any ownership or name changes your </w:t>
      </w:r>
      <w:r>
        <w:t>firm</w:t>
      </w:r>
      <w:r w:rsidRPr="004107C2">
        <w:t xml:space="preserve"> has been through in the past three years. Are any ownership or name changes planned?</w:t>
      </w:r>
    </w:p>
    <w:p w14:paraId="5D173EC2" w14:textId="77777777" w:rsidR="0039499C" w:rsidRPr="004107C2" w:rsidRDefault="0039499C" w:rsidP="006E7A4A">
      <w:pPr>
        <w:pStyle w:val="NumList1"/>
        <w:numPr>
          <w:ilvl w:val="0"/>
          <w:numId w:val="20"/>
        </w:numPr>
      </w:pPr>
      <w:r>
        <w:t>D</w:t>
      </w:r>
      <w:r w:rsidRPr="004107C2">
        <w:t xml:space="preserve">escribe any changes in the organizational structure that have occurred within your </w:t>
      </w:r>
      <w:r>
        <w:t>firm</w:t>
      </w:r>
      <w:r w:rsidRPr="004107C2">
        <w:t xml:space="preserve"> over the past twenty</w:t>
      </w:r>
      <w:r>
        <w:t>-</w:t>
      </w:r>
      <w:r w:rsidRPr="004107C2">
        <w:t>four months or are anticipated during the next twenty</w:t>
      </w:r>
      <w:r>
        <w:t>-</w:t>
      </w:r>
      <w:r w:rsidRPr="004107C2">
        <w:t>four months including, but not limited to, addition or elimination of product or business lines, mergers, acquisitions, etc.</w:t>
      </w:r>
    </w:p>
    <w:p w14:paraId="5FCF7769" w14:textId="77777777" w:rsidR="0039499C" w:rsidRPr="004107C2" w:rsidRDefault="0039499C" w:rsidP="006E7A4A">
      <w:pPr>
        <w:pStyle w:val="NumList1"/>
        <w:numPr>
          <w:ilvl w:val="0"/>
          <w:numId w:val="20"/>
        </w:numPr>
      </w:pPr>
      <w:r w:rsidRPr="004107C2">
        <w:t xml:space="preserve">How long has </w:t>
      </w:r>
      <w:r>
        <w:t>your firm</w:t>
      </w:r>
      <w:r w:rsidRPr="004107C2">
        <w:t xml:space="preserve"> been providing </w:t>
      </w:r>
      <w:r>
        <w:t xml:space="preserve">health and life insurance actuarial consulting services? </w:t>
      </w:r>
      <w:r w:rsidRPr="004107C2">
        <w:t xml:space="preserve"> Please indicate the month and year in which your </w:t>
      </w:r>
      <w:r>
        <w:t>firm</w:t>
      </w:r>
      <w:r w:rsidRPr="004107C2">
        <w:t xml:space="preserve"> was established.</w:t>
      </w:r>
    </w:p>
    <w:p w14:paraId="3524D64E" w14:textId="77777777" w:rsidR="0039499C" w:rsidRDefault="0039499C" w:rsidP="006E7A4A">
      <w:pPr>
        <w:pStyle w:val="NumList1"/>
        <w:numPr>
          <w:ilvl w:val="0"/>
          <w:numId w:val="20"/>
        </w:numPr>
      </w:pPr>
      <w:r w:rsidRPr="004107C2">
        <w:t xml:space="preserve">What was the </w:t>
      </w:r>
      <w:r>
        <w:t>average number of employees of your</w:t>
      </w:r>
      <w:r w:rsidRPr="004107C2">
        <w:t xml:space="preserve"> </w:t>
      </w:r>
      <w:r>
        <w:t>firm</w:t>
      </w:r>
      <w:r w:rsidRPr="004107C2">
        <w:t xml:space="preserve"> during calendar year </w:t>
      </w:r>
      <w:r w:rsidRPr="00905D13">
        <w:t xml:space="preserve">2017? Please list the net change in the number of employees in your </w:t>
      </w:r>
      <w:r>
        <w:t>firm</w:t>
      </w:r>
      <w:r w:rsidRPr="00905D13">
        <w:t xml:space="preserve"> from December 2016 to December 2017, with</w:t>
      </w:r>
      <w:r w:rsidRPr="00153728">
        <w:t xml:space="preserve"> explanation if change is significant.</w:t>
      </w:r>
    </w:p>
    <w:p w14:paraId="613E3C09" w14:textId="77777777" w:rsidR="0039499C" w:rsidRPr="004107C2" w:rsidRDefault="0039499C" w:rsidP="006E7A4A">
      <w:pPr>
        <w:pStyle w:val="NumList1"/>
        <w:numPr>
          <w:ilvl w:val="0"/>
          <w:numId w:val="20"/>
        </w:numPr>
      </w:pPr>
      <w:r w:rsidRPr="004107C2">
        <w:t xml:space="preserve">State if the proposed account </w:t>
      </w:r>
      <w:r>
        <w:t>executive</w:t>
      </w:r>
      <w:r w:rsidRPr="004107C2">
        <w:t>, any officers or principals and/or their immediate families are, or have been within the preceding twelve months, employees of the State of Mississippi.</w:t>
      </w:r>
    </w:p>
    <w:p w14:paraId="2B920CF9" w14:textId="77777777" w:rsidR="0039499C" w:rsidRPr="00B362E3" w:rsidRDefault="0039499C" w:rsidP="006E7A4A">
      <w:pPr>
        <w:pStyle w:val="NumList1"/>
        <w:numPr>
          <w:ilvl w:val="0"/>
          <w:numId w:val="20"/>
        </w:numPr>
      </w:pPr>
      <w:r w:rsidRPr="00B362E3">
        <w:t>Provide a brief description of any outside vendors or subcontractors that will be involved in providing key services detailed within your proposal. Please include the term of your current contract with each vendor or subcontractor. Describe the nature of the relationship with the subcontractor, including any ownership interest.</w:t>
      </w:r>
    </w:p>
    <w:p w14:paraId="1D086EEC" w14:textId="77777777" w:rsidR="0039499C" w:rsidRPr="006629E6" w:rsidRDefault="0039499C" w:rsidP="006E7A4A">
      <w:pPr>
        <w:pStyle w:val="NumList1"/>
        <w:numPr>
          <w:ilvl w:val="0"/>
          <w:numId w:val="20"/>
        </w:numPr>
      </w:pPr>
      <w:r w:rsidRPr="006629E6">
        <w:t xml:space="preserve">Has your </w:t>
      </w:r>
      <w:r>
        <w:t>firm</w:t>
      </w:r>
      <w:r w:rsidRPr="006629E6">
        <w:t xml:space="preserve"> ever been involved in a lawsuit involving any area covered by this RFP? If yes, provide details including dates and outcomes.</w:t>
      </w:r>
    </w:p>
    <w:p w14:paraId="67940BA1" w14:textId="77777777" w:rsidR="0039499C" w:rsidRDefault="0039499C" w:rsidP="006E7A4A">
      <w:pPr>
        <w:pStyle w:val="NumList1"/>
        <w:numPr>
          <w:ilvl w:val="0"/>
          <w:numId w:val="20"/>
        </w:numPr>
      </w:pPr>
      <w:r w:rsidRPr="006629E6">
        <w:t xml:space="preserve">During the past five (5) years, has your </w:t>
      </w:r>
      <w:r>
        <w:t>firm</w:t>
      </w:r>
      <w:r w:rsidRPr="006629E6">
        <w:t>, related entities, principals or officers ever been a party in any material criminal litigation, whether directly related to this RFP or not? If so, provide details including dates and outcomes.</w:t>
      </w:r>
    </w:p>
    <w:p w14:paraId="32BED9C5" w14:textId="77777777" w:rsidR="001C67B4" w:rsidRPr="006629E6" w:rsidRDefault="001C67B4" w:rsidP="001C67B4">
      <w:pPr>
        <w:pStyle w:val="NumList1"/>
        <w:numPr>
          <w:ilvl w:val="0"/>
          <w:numId w:val="0"/>
        </w:numPr>
        <w:ind w:left="1080"/>
      </w:pPr>
    </w:p>
    <w:p w14:paraId="358F0CA9" w14:textId="77777777" w:rsidR="0039499C" w:rsidRDefault="0039499C" w:rsidP="006E7A4A">
      <w:pPr>
        <w:pStyle w:val="NumList1"/>
        <w:numPr>
          <w:ilvl w:val="0"/>
          <w:numId w:val="20"/>
        </w:numPr>
      </w:pPr>
      <w:r w:rsidRPr="004107C2">
        <w:t xml:space="preserve">Has your </w:t>
      </w:r>
      <w:r>
        <w:t>firm</w:t>
      </w:r>
      <w:r w:rsidRPr="004107C2">
        <w:t xml:space="preserve"> been cited or threatened with citation within the last three years by federal or state regulators for violations of any federal, state, or local law or federal, state or local regulation? If the answer is yes, please descri</w:t>
      </w:r>
      <w:r>
        <w:t>be the circumstances in detail.</w:t>
      </w:r>
    </w:p>
    <w:p w14:paraId="4BE57BD2" w14:textId="77777777" w:rsidR="0039499C" w:rsidRPr="004107C2" w:rsidRDefault="0039499C" w:rsidP="006E7A4A">
      <w:pPr>
        <w:pStyle w:val="NumList1"/>
        <w:numPr>
          <w:ilvl w:val="0"/>
          <w:numId w:val="20"/>
        </w:numPr>
      </w:pPr>
      <w:r w:rsidRPr="004107C2">
        <w:t xml:space="preserve">Has your </w:t>
      </w:r>
      <w:r>
        <w:t>firm</w:t>
      </w:r>
      <w:r w:rsidRPr="004107C2">
        <w:t xml:space="preserve"> had any HIPAA breaches or incidents determined to be reportable to the U.S. Department of Health and Human Services (DHHS) within the last </w:t>
      </w:r>
      <w:r>
        <w:t>five</w:t>
      </w:r>
      <w:r w:rsidRPr="004107C2">
        <w:t xml:space="preserve"> years? If the answer is yes, please describe the circumstances and the corrective action in detail.</w:t>
      </w:r>
    </w:p>
    <w:p w14:paraId="3DCC0B9E" w14:textId="0229554D" w:rsidR="0039499C" w:rsidRDefault="0039499C" w:rsidP="006E7A4A">
      <w:pPr>
        <w:pStyle w:val="NumList1"/>
        <w:numPr>
          <w:ilvl w:val="0"/>
          <w:numId w:val="20"/>
        </w:numPr>
      </w:pPr>
      <w:r w:rsidRPr="004107C2">
        <w:t xml:space="preserve">Confirm that your </w:t>
      </w:r>
      <w:r>
        <w:t>firm</w:t>
      </w:r>
      <w:r w:rsidRPr="004107C2">
        <w:t xml:space="preserve"> is not presently debarred, suspended, proposed for debarment, declared ineligible or voluntarily excluded from covered transaction by any federal department or agency, or by any political subdivision or agency of the State of Mississippi.</w:t>
      </w:r>
    </w:p>
    <w:p w14:paraId="560E9169" w14:textId="78ECBDAB" w:rsidR="00975782" w:rsidRDefault="00975782" w:rsidP="006E7A4A">
      <w:pPr>
        <w:pStyle w:val="NumList1"/>
        <w:numPr>
          <w:ilvl w:val="0"/>
          <w:numId w:val="20"/>
        </w:numPr>
      </w:pPr>
      <w:r>
        <w:t xml:space="preserve">Provide the names of any organizations of which you own or control more than five (5) percent. </w:t>
      </w:r>
      <w:r w:rsidRPr="004107C2">
        <w:t>The</w:t>
      </w:r>
      <w:r>
        <w:t xml:space="preserve"> selected </w:t>
      </w:r>
      <w:r w:rsidR="001B0A63" w:rsidRPr="006629E6">
        <w:t xml:space="preserve">Consulting </w:t>
      </w:r>
      <w:r w:rsidR="001B0A63" w:rsidRPr="00360101">
        <w:t>Actuary</w:t>
      </w:r>
      <w:r>
        <w:t xml:space="preserve"> must</w:t>
      </w:r>
      <w:r w:rsidRPr="004107C2">
        <w:t xml:space="preserve"> cooperate with the Board and with all other contractors of the Board with respect to ongoing coordination and delivery of services and in any transition of responsibilities. Confirm you will comply with this requirement.</w:t>
      </w:r>
    </w:p>
    <w:p w14:paraId="57E68E8E" w14:textId="77777777" w:rsidR="0039499C" w:rsidRDefault="0039499C" w:rsidP="006E7A4A">
      <w:pPr>
        <w:pStyle w:val="NumList1"/>
        <w:numPr>
          <w:ilvl w:val="0"/>
          <w:numId w:val="20"/>
        </w:numPr>
      </w:pPr>
      <w:r w:rsidRPr="004107C2">
        <w:t>The</w:t>
      </w:r>
      <w:r>
        <w:t xml:space="preserve"> selected </w:t>
      </w:r>
      <w:r w:rsidRPr="006629E6">
        <w:t xml:space="preserve">Consulting </w:t>
      </w:r>
      <w:r w:rsidRPr="00360101">
        <w:t>Actuary</w:t>
      </w:r>
      <w:r>
        <w:t xml:space="preserve"> must</w:t>
      </w:r>
      <w:r w:rsidRPr="004107C2">
        <w:t xml:space="preserve"> cooperate with the Board and with all other contractors of the Board with respect to ongoing coordination and delivery of services and in any transition of responsibilities. Confirm you will comply with this requirement.</w:t>
      </w:r>
    </w:p>
    <w:p w14:paraId="42F7B57A" w14:textId="21E5A455" w:rsidR="0039499C" w:rsidRDefault="0039499C" w:rsidP="006E7A4A">
      <w:pPr>
        <w:pStyle w:val="NumList1"/>
        <w:numPr>
          <w:ilvl w:val="0"/>
          <w:numId w:val="20"/>
        </w:numPr>
      </w:pPr>
      <w:r w:rsidRPr="006629E6">
        <w:t xml:space="preserve">Identify the Consulting </w:t>
      </w:r>
      <w:r w:rsidRPr="00360101">
        <w:t>Actuary</w:t>
      </w:r>
      <w:r>
        <w:t xml:space="preserve"> </w:t>
      </w:r>
      <w:r w:rsidRPr="006629E6">
        <w:t xml:space="preserve">who will serve as the primary contact for the Board. </w:t>
      </w:r>
      <w:r>
        <w:t xml:space="preserve">Provide the name(s) of </w:t>
      </w:r>
      <w:r w:rsidR="00CD0874">
        <w:t xml:space="preserve">all </w:t>
      </w:r>
      <w:r>
        <w:t>the actuary(s) to perform the work for the Board and a brief statement as to why each actuary is qualified to provide services to the Board.</w:t>
      </w:r>
    </w:p>
    <w:p w14:paraId="33F9E5A2" w14:textId="77777777" w:rsidR="0039499C" w:rsidRPr="006629E6" w:rsidRDefault="0039499C" w:rsidP="006E7A4A">
      <w:pPr>
        <w:pStyle w:val="NumList1"/>
        <w:numPr>
          <w:ilvl w:val="0"/>
          <w:numId w:val="20"/>
        </w:numPr>
      </w:pPr>
      <w:r>
        <w:t xml:space="preserve">Provide a complete résumé for each actuary who will be assigned to render services to the Board, including detailed information on any special training or designations. </w:t>
      </w:r>
    </w:p>
    <w:p w14:paraId="3841655D" w14:textId="426A5B14" w:rsidR="00B27EDB" w:rsidRPr="00AC45D1" w:rsidRDefault="00B27EDB" w:rsidP="006E7A4A">
      <w:pPr>
        <w:pStyle w:val="NumList1"/>
        <w:numPr>
          <w:ilvl w:val="0"/>
          <w:numId w:val="20"/>
        </w:numPr>
      </w:pPr>
      <w:r>
        <w:t xml:space="preserve">State if </w:t>
      </w:r>
      <w:r w:rsidRPr="00AC45D1">
        <w:t xml:space="preserve">your </w:t>
      </w:r>
      <w:r>
        <w:t>firm</w:t>
      </w:r>
      <w:r w:rsidRPr="00AC45D1">
        <w:t xml:space="preserve"> currently provides any services, directly or indirectly, to any of the following vendors or Board members.  If so, provide a brief description of services provided.</w:t>
      </w:r>
    </w:p>
    <w:p w14:paraId="3FDA63B2" w14:textId="77777777" w:rsidR="00B27EDB" w:rsidRPr="00AC45D1" w:rsidRDefault="00B27EDB" w:rsidP="00317CF7">
      <w:pPr>
        <w:ind w:left="360" w:firstLine="720"/>
      </w:pPr>
      <w:r w:rsidRPr="00AC45D1">
        <w:t>Vendors:</w:t>
      </w:r>
    </w:p>
    <w:p w14:paraId="382F855F" w14:textId="77777777" w:rsidR="00B27EDB" w:rsidRPr="00AC45D1" w:rsidRDefault="00B27EDB" w:rsidP="00317CF7">
      <w:pPr>
        <w:ind w:left="360" w:firstLine="720"/>
      </w:pPr>
      <w:r w:rsidRPr="00AC45D1">
        <w:t>Cannon Cochran Management Services, Inc.</w:t>
      </w:r>
    </w:p>
    <w:p w14:paraId="62313EB8" w14:textId="77777777" w:rsidR="00DE6707" w:rsidRPr="00AC45D1" w:rsidRDefault="00DE6707" w:rsidP="00317CF7">
      <w:pPr>
        <w:ind w:left="360" w:firstLine="720"/>
      </w:pPr>
      <w:r w:rsidRPr="00AC45D1">
        <w:t>Harper, Rains, Knight &amp; Company, P.A.</w:t>
      </w:r>
    </w:p>
    <w:p w14:paraId="5B3101C2" w14:textId="77777777" w:rsidR="00B27EDB" w:rsidRPr="00AC45D1" w:rsidRDefault="00B27EDB" w:rsidP="00317CF7">
      <w:pPr>
        <w:ind w:left="360" w:firstLine="720"/>
      </w:pPr>
    </w:p>
    <w:p w14:paraId="021D529C" w14:textId="77777777" w:rsidR="00B27EDB" w:rsidRPr="00AC45D1" w:rsidRDefault="00B27EDB" w:rsidP="00317CF7">
      <w:pPr>
        <w:ind w:left="360" w:firstLine="720"/>
      </w:pPr>
      <w:r w:rsidRPr="00AC45D1">
        <w:t>Board Members:</w:t>
      </w:r>
    </w:p>
    <w:p w14:paraId="500D8A25" w14:textId="77777777" w:rsidR="006629E6" w:rsidRDefault="00DE6707" w:rsidP="00317CF7">
      <w:pPr>
        <w:ind w:left="1080"/>
      </w:pPr>
      <w:r w:rsidRPr="00AC45D1">
        <w:t>Ryan Beard</w:t>
      </w:r>
      <w:r>
        <w:t xml:space="preserve">, </w:t>
      </w:r>
      <w:r w:rsidRPr="00AC45D1">
        <w:t xml:space="preserve">Kelly </w:t>
      </w:r>
      <w:proofErr w:type="spellStart"/>
      <w:r w:rsidRPr="00AC45D1">
        <w:t>Breland</w:t>
      </w:r>
      <w:proofErr w:type="spellEnd"/>
      <w:r>
        <w:t xml:space="preserve">, Phil Hardy, </w:t>
      </w:r>
      <w:r w:rsidR="00B27EDB" w:rsidRPr="00AC45D1">
        <w:t xml:space="preserve">Cassandra Moore, </w:t>
      </w:r>
      <w:r w:rsidR="006629E6">
        <w:t>Cassandra Walter</w:t>
      </w:r>
    </w:p>
    <w:p w14:paraId="7DD2B97F" w14:textId="77777777" w:rsidR="006629E6" w:rsidRDefault="006629E6" w:rsidP="00317CF7">
      <w:pPr>
        <w:ind w:left="1080"/>
      </w:pPr>
    </w:p>
    <w:p w14:paraId="18232CB5" w14:textId="77777777" w:rsidR="006629E6" w:rsidRDefault="00B27EDB" w:rsidP="00317CF7">
      <w:pPr>
        <w:ind w:left="1080"/>
      </w:pPr>
      <w:r w:rsidRPr="00AC45D1">
        <w:t xml:space="preserve">Trust Administrator: </w:t>
      </w:r>
    </w:p>
    <w:p w14:paraId="39F6EA10" w14:textId="23A4FD54" w:rsidR="00B27EDB" w:rsidRPr="00AC45D1" w:rsidRDefault="00B27EDB" w:rsidP="00317CF7">
      <w:pPr>
        <w:ind w:left="1080"/>
      </w:pPr>
      <w:r w:rsidRPr="00AC45D1">
        <w:t xml:space="preserve">Richard </w:t>
      </w:r>
      <w:r w:rsidR="006629E6">
        <w:t xml:space="preserve">D. </w:t>
      </w:r>
      <w:r w:rsidRPr="00AC45D1">
        <w:t>Self</w:t>
      </w:r>
    </w:p>
    <w:p w14:paraId="14EB494D" w14:textId="1275C3F3" w:rsidR="0039499C" w:rsidRDefault="0039499C" w:rsidP="006E7A4A">
      <w:pPr>
        <w:pStyle w:val="NumList1"/>
        <w:numPr>
          <w:ilvl w:val="0"/>
          <w:numId w:val="20"/>
        </w:numPr>
      </w:pPr>
      <w:r>
        <w:t xml:space="preserve">Please </w:t>
      </w:r>
      <w:r w:rsidRPr="004107C2">
        <w:t>confirm the proposal is valid for at least 180 days subsequent to the date of submission.</w:t>
      </w:r>
    </w:p>
    <w:p w14:paraId="5319B35E" w14:textId="77777777" w:rsidR="00C178C8" w:rsidRDefault="00C178C8" w:rsidP="00317CF7">
      <w:pPr>
        <w:rPr>
          <w:b/>
          <w:bCs/>
        </w:rPr>
      </w:pPr>
      <w:bookmarkStart w:id="27" w:name="_Toc511746021"/>
      <w:r>
        <w:br w:type="page"/>
      </w:r>
    </w:p>
    <w:p w14:paraId="5BEAB54B" w14:textId="117510FF" w:rsidR="0039499C" w:rsidRDefault="00B27EDB" w:rsidP="00317CF7">
      <w:pPr>
        <w:pStyle w:val="Heading1"/>
        <w:rPr>
          <w:sz w:val="24"/>
        </w:rPr>
      </w:pPr>
      <w:bookmarkStart w:id="28" w:name="_Toc3360021"/>
      <w:r>
        <w:rPr>
          <w:sz w:val="24"/>
        </w:rPr>
        <w:t>S</w:t>
      </w:r>
      <w:r w:rsidR="0039499C">
        <w:rPr>
          <w:sz w:val="24"/>
        </w:rPr>
        <w:t>ection 5. REFERENCES</w:t>
      </w:r>
      <w:bookmarkEnd w:id="27"/>
      <w:bookmarkEnd w:id="28"/>
      <w:r w:rsidR="0039499C">
        <w:rPr>
          <w:sz w:val="24"/>
        </w:rPr>
        <w:t xml:space="preserve"> </w:t>
      </w:r>
    </w:p>
    <w:p w14:paraId="5639DC0E" w14:textId="1C0B3387" w:rsidR="0039499C" w:rsidRDefault="0039499C" w:rsidP="006E7A4A">
      <w:pPr>
        <w:pStyle w:val="NumList1"/>
        <w:numPr>
          <w:ilvl w:val="0"/>
          <w:numId w:val="11"/>
        </w:numPr>
        <w:spacing w:after="0"/>
      </w:pPr>
      <w:r>
        <w:t xml:space="preserve">List up </w:t>
      </w:r>
      <w:r w:rsidRPr="00B362E3">
        <w:t>to three clients for</w:t>
      </w:r>
      <w:r>
        <w:t xml:space="preserve"> whom your firm has provided </w:t>
      </w:r>
      <w:r w:rsidR="00F779DE">
        <w:t xml:space="preserve">workers’ compensation </w:t>
      </w:r>
      <w:r>
        <w:t xml:space="preserve">services similar to those requested in this RFP.  For each client, the list must specify the type work performed by your firm, the number of covered lives in the client’s group, and the time retained as a client.  One of the three </w:t>
      </w:r>
      <w:r w:rsidR="00007D5E">
        <w:t>should</w:t>
      </w:r>
      <w:r>
        <w:t xml:space="preserve"> be the longest standing client and one </w:t>
      </w:r>
      <w:r w:rsidR="00007D5E">
        <w:t>should</w:t>
      </w:r>
      <w:r>
        <w:t xml:space="preserve"> be the client with the largest employee population</w:t>
      </w:r>
      <w:r w:rsidR="00007D5E">
        <w:t>/premium volume</w:t>
      </w:r>
      <w:r>
        <w:t xml:space="preserve">. </w:t>
      </w:r>
      <w:r w:rsidR="00F779DE">
        <w:t xml:space="preserve">Include at least one governmental client if applicable.  </w:t>
      </w:r>
      <w:r w:rsidRPr="00153728">
        <w:t>For each client, the list must specify:</w:t>
      </w:r>
    </w:p>
    <w:p w14:paraId="3EC7779B" w14:textId="77777777" w:rsidR="00F779DE" w:rsidRDefault="00F779DE" w:rsidP="00F779DE"/>
    <w:p w14:paraId="04BBEED0" w14:textId="77777777" w:rsidR="0039499C" w:rsidRPr="008A2B5E" w:rsidRDefault="0039499C" w:rsidP="006E7A4A">
      <w:pPr>
        <w:pStyle w:val="Heading4"/>
        <w:keepNext w:val="0"/>
        <w:numPr>
          <w:ilvl w:val="0"/>
          <w:numId w:val="5"/>
        </w:numPr>
        <w:rPr>
          <w:b w:val="0"/>
        </w:rPr>
      </w:pPr>
      <w:r w:rsidRPr="008A2B5E">
        <w:rPr>
          <w:b w:val="0"/>
        </w:rPr>
        <w:t>Client name, include the name, title, address, e-mail address, and phone number of a person whom we may contact to confirm as needed,</w:t>
      </w:r>
    </w:p>
    <w:p w14:paraId="38C5605A" w14:textId="77777777" w:rsidR="0039499C" w:rsidRPr="008A2B5E" w:rsidRDefault="0039499C" w:rsidP="006E7A4A">
      <w:pPr>
        <w:pStyle w:val="Heading4"/>
        <w:keepNext w:val="0"/>
        <w:numPr>
          <w:ilvl w:val="0"/>
          <w:numId w:val="5"/>
        </w:numPr>
        <w:rPr>
          <w:b w:val="0"/>
        </w:rPr>
      </w:pPr>
      <w:r w:rsidRPr="008A2B5E">
        <w:rPr>
          <w:b w:val="0"/>
        </w:rPr>
        <w:t xml:space="preserve">The type of work your </w:t>
      </w:r>
      <w:r w:rsidRPr="00261598">
        <w:rPr>
          <w:b w:val="0"/>
        </w:rPr>
        <w:t>firm</w:t>
      </w:r>
      <w:r w:rsidRPr="008A2B5E">
        <w:rPr>
          <w:b w:val="0"/>
        </w:rPr>
        <w:t xml:space="preserve"> provided to the client,</w:t>
      </w:r>
    </w:p>
    <w:p w14:paraId="070E3EC8" w14:textId="12B09718" w:rsidR="0039499C" w:rsidRPr="008A2B5E" w:rsidRDefault="0039499C" w:rsidP="006E7A4A">
      <w:pPr>
        <w:pStyle w:val="Heading4"/>
        <w:keepNext w:val="0"/>
        <w:numPr>
          <w:ilvl w:val="0"/>
          <w:numId w:val="5"/>
        </w:numPr>
        <w:rPr>
          <w:b w:val="0"/>
        </w:rPr>
      </w:pPr>
      <w:r w:rsidRPr="008A2B5E">
        <w:rPr>
          <w:b w:val="0"/>
        </w:rPr>
        <w:t>The number of covered lives</w:t>
      </w:r>
      <w:r w:rsidR="00F779DE">
        <w:rPr>
          <w:b w:val="0"/>
        </w:rPr>
        <w:t>/premium volume</w:t>
      </w:r>
      <w:r w:rsidRPr="008A2B5E">
        <w:rPr>
          <w:b w:val="0"/>
        </w:rPr>
        <w:t xml:space="preserve"> in the client’s group,</w:t>
      </w:r>
    </w:p>
    <w:p w14:paraId="488B2937" w14:textId="77777777" w:rsidR="0039499C" w:rsidRPr="008A2B5E" w:rsidRDefault="0039499C" w:rsidP="006E7A4A">
      <w:pPr>
        <w:pStyle w:val="Heading4"/>
        <w:keepNext w:val="0"/>
        <w:numPr>
          <w:ilvl w:val="0"/>
          <w:numId w:val="5"/>
        </w:numPr>
        <w:rPr>
          <w:b w:val="0"/>
        </w:rPr>
      </w:pPr>
      <w:r w:rsidRPr="008A2B5E">
        <w:rPr>
          <w:b w:val="0"/>
        </w:rPr>
        <w:t xml:space="preserve">Contract effective dates for the time period(s) your </w:t>
      </w:r>
      <w:r w:rsidRPr="00261598">
        <w:rPr>
          <w:b w:val="0"/>
        </w:rPr>
        <w:t>firm</w:t>
      </w:r>
      <w:r w:rsidRPr="008A2B5E">
        <w:rPr>
          <w:b w:val="0"/>
        </w:rPr>
        <w:t xml:space="preserve"> provided services to the client.</w:t>
      </w:r>
    </w:p>
    <w:p w14:paraId="1DB9036A" w14:textId="5F731A66" w:rsidR="0039499C" w:rsidRDefault="0039499C" w:rsidP="00317CF7">
      <w:pPr>
        <w:pStyle w:val="NumList1"/>
        <w:numPr>
          <w:ilvl w:val="0"/>
          <w:numId w:val="2"/>
        </w:numPr>
        <w:spacing w:after="0"/>
        <w:ind w:hanging="450"/>
      </w:pPr>
      <w:r>
        <w:t xml:space="preserve">List up to </w:t>
      </w:r>
      <w:r w:rsidRPr="00B362E3">
        <w:t xml:space="preserve">three </w:t>
      </w:r>
      <w:r>
        <w:t xml:space="preserve">clients for whom your firm has provided </w:t>
      </w:r>
      <w:r w:rsidR="00F779DE">
        <w:t xml:space="preserve">employment compensation fund </w:t>
      </w:r>
      <w:r>
        <w:t xml:space="preserve">services similar to those requested in this RFP.   For each client, the list must specify the type work performed by your firm, the number of covered lives in the client’s group, and the time retained as a client.  One of the three </w:t>
      </w:r>
      <w:r w:rsidR="00007D5E">
        <w:t xml:space="preserve">should </w:t>
      </w:r>
      <w:r>
        <w:t xml:space="preserve">be the longest standing client and one </w:t>
      </w:r>
      <w:r w:rsidR="00007D5E">
        <w:t>should</w:t>
      </w:r>
      <w:r>
        <w:t xml:space="preserve"> be the client with the largest employee population</w:t>
      </w:r>
      <w:r w:rsidR="00007D5E">
        <w:t>/premium volume</w:t>
      </w:r>
      <w:r>
        <w:t xml:space="preserve">. </w:t>
      </w:r>
      <w:r w:rsidRPr="00153728">
        <w:t>For each client, the list must specify:</w:t>
      </w:r>
    </w:p>
    <w:p w14:paraId="0544494F" w14:textId="77777777" w:rsidR="00F779DE" w:rsidRPr="00153728" w:rsidRDefault="00F779DE" w:rsidP="00F779DE"/>
    <w:p w14:paraId="5DC4CA94" w14:textId="77777777" w:rsidR="0039499C" w:rsidRPr="008A2B5E" w:rsidRDefault="0039499C" w:rsidP="006E7A4A">
      <w:pPr>
        <w:pStyle w:val="Heading4"/>
        <w:keepNext w:val="0"/>
        <w:numPr>
          <w:ilvl w:val="0"/>
          <w:numId w:val="6"/>
        </w:numPr>
        <w:rPr>
          <w:b w:val="0"/>
          <w:i/>
        </w:rPr>
      </w:pPr>
      <w:r w:rsidRPr="008A2B5E">
        <w:rPr>
          <w:b w:val="0"/>
        </w:rPr>
        <w:t>Client name, include the name, title, address, e-mail address, and phone number of a person whom we may contact to confirm as needed,</w:t>
      </w:r>
    </w:p>
    <w:p w14:paraId="619C7E22" w14:textId="77777777" w:rsidR="0039499C" w:rsidRPr="008A2B5E" w:rsidRDefault="0039499C" w:rsidP="006E7A4A">
      <w:pPr>
        <w:pStyle w:val="Heading4"/>
        <w:keepNext w:val="0"/>
        <w:numPr>
          <w:ilvl w:val="0"/>
          <w:numId w:val="6"/>
        </w:numPr>
        <w:rPr>
          <w:b w:val="0"/>
          <w:i/>
        </w:rPr>
      </w:pPr>
      <w:r w:rsidRPr="008A2B5E">
        <w:rPr>
          <w:b w:val="0"/>
        </w:rPr>
        <w:t xml:space="preserve">The type of work your </w:t>
      </w:r>
      <w:r w:rsidRPr="00261598">
        <w:rPr>
          <w:b w:val="0"/>
        </w:rPr>
        <w:t xml:space="preserve">firm </w:t>
      </w:r>
      <w:r w:rsidRPr="008A2B5E">
        <w:rPr>
          <w:b w:val="0"/>
        </w:rPr>
        <w:t>provided to the client,</w:t>
      </w:r>
    </w:p>
    <w:p w14:paraId="4B9FCD8B" w14:textId="1BA13D27" w:rsidR="0039499C" w:rsidRPr="008A2B5E" w:rsidRDefault="0039499C" w:rsidP="006E7A4A">
      <w:pPr>
        <w:pStyle w:val="Heading4"/>
        <w:keepNext w:val="0"/>
        <w:numPr>
          <w:ilvl w:val="0"/>
          <w:numId w:val="6"/>
        </w:numPr>
        <w:rPr>
          <w:b w:val="0"/>
          <w:i/>
        </w:rPr>
      </w:pPr>
      <w:r w:rsidRPr="008A2B5E">
        <w:rPr>
          <w:b w:val="0"/>
        </w:rPr>
        <w:t>The number of covered lives</w:t>
      </w:r>
      <w:r w:rsidR="00F779DE">
        <w:rPr>
          <w:b w:val="0"/>
        </w:rPr>
        <w:t>/premium volume</w:t>
      </w:r>
      <w:r w:rsidRPr="008A2B5E">
        <w:rPr>
          <w:b w:val="0"/>
        </w:rPr>
        <w:t xml:space="preserve"> in the client’s group,</w:t>
      </w:r>
    </w:p>
    <w:p w14:paraId="4C9D3C9D" w14:textId="385D7509" w:rsidR="0039499C" w:rsidRDefault="0039499C" w:rsidP="006E7A4A">
      <w:pPr>
        <w:pStyle w:val="Heading4"/>
        <w:keepNext w:val="0"/>
        <w:numPr>
          <w:ilvl w:val="0"/>
          <w:numId w:val="6"/>
        </w:numPr>
        <w:rPr>
          <w:b w:val="0"/>
        </w:rPr>
      </w:pPr>
      <w:r w:rsidRPr="008A2B5E">
        <w:rPr>
          <w:b w:val="0"/>
        </w:rPr>
        <w:t xml:space="preserve">Contract effective dates for the time period(s) your </w:t>
      </w:r>
      <w:r w:rsidRPr="00261598">
        <w:rPr>
          <w:b w:val="0"/>
        </w:rPr>
        <w:t>firm</w:t>
      </w:r>
      <w:r w:rsidRPr="008A2B5E">
        <w:rPr>
          <w:b w:val="0"/>
        </w:rPr>
        <w:t xml:space="preserve"> provided services to the client.</w:t>
      </w:r>
    </w:p>
    <w:p w14:paraId="279CF01D" w14:textId="77777777" w:rsidR="00F779DE" w:rsidRDefault="00F779DE" w:rsidP="00F779DE">
      <w:pPr>
        <w:pStyle w:val="NumList1"/>
        <w:numPr>
          <w:ilvl w:val="0"/>
          <w:numId w:val="0"/>
        </w:numPr>
        <w:spacing w:before="0" w:after="0"/>
        <w:ind w:left="1080"/>
      </w:pPr>
    </w:p>
    <w:p w14:paraId="472B3B2F" w14:textId="01A5574A" w:rsidR="0039499C" w:rsidRDefault="0039499C" w:rsidP="00317CF7">
      <w:pPr>
        <w:pStyle w:val="NumList1"/>
        <w:numPr>
          <w:ilvl w:val="0"/>
          <w:numId w:val="2"/>
        </w:numPr>
        <w:spacing w:before="0" w:after="0"/>
        <w:ind w:hanging="270"/>
      </w:pPr>
      <w:r>
        <w:t xml:space="preserve">List all clients that have discontinued use of your services </w:t>
      </w:r>
      <w:r w:rsidRPr="00B362E3">
        <w:t>since January 1, 201</w:t>
      </w:r>
      <w:r w:rsidR="00F779DE">
        <w:t>7</w:t>
      </w:r>
      <w:r w:rsidRPr="00B362E3">
        <w:t>,</w:t>
      </w:r>
      <w:r>
        <w:t xml:space="preserve"> and your understanding for their discontinued use of your services.  </w:t>
      </w:r>
      <w:r w:rsidRPr="00153728">
        <w:t>For each client, the list must specify:</w:t>
      </w:r>
    </w:p>
    <w:p w14:paraId="27BD0091" w14:textId="77777777" w:rsidR="00F779DE" w:rsidRPr="00153728" w:rsidRDefault="00F779DE" w:rsidP="00F779DE"/>
    <w:p w14:paraId="608A6658" w14:textId="77777777" w:rsidR="0039499C" w:rsidRPr="008A2B5E" w:rsidRDefault="0039499C" w:rsidP="006E7A4A">
      <w:pPr>
        <w:pStyle w:val="Heading4"/>
        <w:keepNext w:val="0"/>
        <w:numPr>
          <w:ilvl w:val="0"/>
          <w:numId w:val="21"/>
        </w:numPr>
        <w:rPr>
          <w:b w:val="0"/>
          <w:i/>
        </w:rPr>
      </w:pPr>
      <w:r w:rsidRPr="008A2B5E">
        <w:rPr>
          <w:b w:val="0"/>
        </w:rPr>
        <w:t>Client name, include the name, title, address, e-mail address, and phone number of a person whom we may contact to confirm as needed,</w:t>
      </w:r>
    </w:p>
    <w:p w14:paraId="388529DE" w14:textId="77777777" w:rsidR="0039499C" w:rsidRPr="00F779DE" w:rsidRDefault="0039499C" w:rsidP="006E7A4A">
      <w:pPr>
        <w:pStyle w:val="Heading4"/>
        <w:keepNext w:val="0"/>
        <w:numPr>
          <w:ilvl w:val="0"/>
          <w:numId w:val="21"/>
        </w:numPr>
        <w:rPr>
          <w:b w:val="0"/>
        </w:rPr>
      </w:pPr>
      <w:r w:rsidRPr="008A2B5E">
        <w:rPr>
          <w:b w:val="0"/>
        </w:rPr>
        <w:t xml:space="preserve">The type of work your </w:t>
      </w:r>
      <w:r w:rsidRPr="00261598">
        <w:rPr>
          <w:b w:val="0"/>
        </w:rPr>
        <w:t>firm</w:t>
      </w:r>
      <w:r w:rsidRPr="008A2B5E">
        <w:rPr>
          <w:b w:val="0"/>
        </w:rPr>
        <w:t xml:space="preserve"> provided to the client,</w:t>
      </w:r>
    </w:p>
    <w:p w14:paraId="67A3F2B4" w14:textId="13B3B4F2" w:rsidR="0039499C" w:rsidRPr="00F779DE" w:rsidRDefault="0039499C" w:rsidP="006E7A4A">
      <w:pPr>
        <w:pStyle w:val="Heading4"/>
        <w:keepNext w:val="0"/>
        <w:numPr>
          <w:ilvl w:val="0"/>
          <w:numId w:val="21"/>
        </w:numPr>
        <w:rPr>
          <w:b w:val="0"/>
        </w:rPr>
      </w:pPr>
      <w:r w:rsidRPr="008A2B5E">
        <w:rPr>
          <w:b w:val="0"/>
        </w:rPr>
        <w:t>The number of covered lives</w:t>
      </w:r>
      <w:r w:rsidR="00F779DE">
        <w:rPr>
          <w:b w:val="0"/>
        </w:rPr>
        <w:t>/premium volume</w:t>
      </w:r>
      <w:r w:rsidRPr="008A2B5E">
        <w:rPr>
          <w:b w:val="0"/>
        </w:rPr>
        <w:t xml:space="preserve"> in the client’s group,</w:t>
      </w:r>
    </w:p>
    <w:p w14:paraId="17A2C10E" w14:textId="77777777" w:rsidR="0039499C" w:rsidRDefault="0039499C" w:rsidP="006E7A4A">
      <w:pPr>
        <w:pStyle w:val="Heading4"/>
        <w:keepNext w:val="0"/>
        <w:numPr>
          <w:ilvl w:val="0"/>
          <w:numId w:val="21"/>
        </w:numPr>
        <w:rPr>
          <w:b w:val="0"/>
        </w:rPr>
      </w:pPr>
      <w:r w:rsidRPr="008A2B5E">
        <w:rPr>
          <w:b w:val="0"/>
        </w:rPr>
        <w:t xml:space="preserve">Contract effective dates for the time period(s) your </w:t>
      </w:r>
      <w:r w:rsidRPr="00261598">
        <w:rPr>
          <w:b w:val="0"/>
        </w:rPr>
        <w:t>firm</w:t>
      </w:r>
      <w:r w:rsidRPr="008A2B5E">
        <w:rPr>
          <w:b w:val="0"/>
        </w:rPr>
        <w:t xml:space="preserve"> provided services to the client.</w:t>
      </w:r>
    </w:p>
    <w:p w14:paraId="6088B937" w14:textId="77777777" w:rsidR="0039499C" w:rsidRDefault="0039499C" w:rsidP="00317CF7"/>
    <w:p w14:paraId="630076FE" w14:textId="77777777" w:rsidR="0039499C" w:rsidRDefault="0039499C" w:rsidP="00317CF7"/>
    <w:p w14:paraId="497B5222" w14:textId="77777777" w:rsidR="0039499C" w:rsidRDefault="0039499C" w:rsidP="00317CF7">
      <w:pPr>
        <w:pStyle w:val="Heading1"/>
        <w:rPr>
          <w:sz w:val="24"/>
        </w:rPr>
      </w:pPr>
      <w:bookmarkStart w:id="29" w:name="_Toc511746022"/>
    </w:p>
    <w:p w14:paraId="304EFE12" w14:textId="77777777" w:rsidR="0039499C" w:rsidRDefault="0039499C" w:rsidP="00317CF7">
      <w:pPr>
        <w:pStyle w:val="Heading1"/>
        <w:rPr>
          <w:sz w:val="24"/>
        </w:rPr>
      </w:pPr>
    </w:p>
    <w:p w14:paraId="25369831" w14:textId="77777777" w:rsidR="0039499C" w:rsidRDefault="0039499C" w:rsidP="00317CF7">
      <w:pPr>
        <w:pStyle w:val="Heading1"/>
        <w:rPr>
          <w:sz w:val="24"/>
        </w:rPr>
      </w:pPr>
    </w:p>
    <w:p w14:paraId="3C15ABA6" w14:textId="77777777" w:rsidR="0039499C" w:rsidRDefault="0039499C" w:rsidP="00317CF7">
      <w:pPr>
        <w:pStyle w:val="Heading1"/>
        <w:rPr>
          <w:sz w:val="24"/>
        </w:rPr>
      </w:pPr>
    </w:p>
    <w:p w14:paraId="6639036A" w14:textId="77777777" w:rsidR="0039499C" w:rsidRDefault="0039499C" w:rsidP="00317CF7">
      <w:pPr>
        <w:pStyle w:val="Heading1"/>
        <w:rPr>
          <w:sz w:val="24"/>
        </w:rPr>
      </w:pPr>
    </w:p>
    <w:p w14:paraId="5A2EDA37" w14:textId="77777777" w:rsidR="0039499C" w:rsidRDefault="0039499C" w:rsidP="00317CF7">
      <w:pPr>
        <w:rPr>
          <w:b/>
          <w:bCs/>
        </w:rPr>
      </w:pPr>
      <w:r>
        <w:br w:type="page"/>
      </w:r>
    </w:p>
    <w:p w14:paraId="73E9F62F" w14:textId="3473D13D" w:rsidR="0039499C" w:rsidRDefault="0039499C" w:rsidP="00317CF7">
      <w:pPr>
        <w:pStyle w:val="Heading1"/>
        <w:rPr>
          <w:sz w:val="24"/>
        </w:rPr>
      </w:pPr>
      <w:bookmarkStart w:id="30" w:name="_Toc3360022"/>
      <w:r>
        <w:rPr>
          <w:sz w:val="24"/>
        </w:rPr>
        <w:t>Section 6. SERVICE PLAN</w:t>
      </w:r>
      <w:bookmarkEnd w:id="29"/>
      <w:bookmarkEnd w:id="30"/>
    </w:p>
    <w:p w14:paraId="71964F80" w14:textId="77777777" w:rsidR="0039499C" w:rsidRPr="00360101" w:rsidRDefault="0039499C" w:rsidP="00317CF7"/>
    <w:p w14:paraId="4A684890" w14:textId="77777777" w:rsidR="008B0F1A" w:rsidRPr="008B0F1A" w:rsidRDefault="008B0F1A" w:rsidP="006E7A4A">
      <w:pPr>
        <w:pStyle w:val="ListParagraph"/>
        <w:numPr>
          <w:ilvl w:val="0"/>
          <w:numId w:val="13"/>
        </w:numPr>
        <w:jc w:val="both"/>
        <w:outlineLvl w:val="1"/>
        <w:rPr>
          <w:b/>
          <w:bCs/>
          <w:vanish/>
        </w:rPr>
      </w:pPr>
      <w:bookmarkStart w:id="31" w:name="_Toc517706005"/>
      <w:bookmarkStart w:id="32" w:name="_Toc517706045"/>
      <w:bookmarkStart w:id="33" w:name="_Toc517706085"/>
      <w:bookmarkStart w:id="34" w:name="_Toc517706125"/>
      <w:bookmarkStart w:id="35" w:name="_Toc517768233"/>
      <w:bookmarkStart w:id="36" w:name="_Toc517771395"/>
      <w:bookmarkStart w:id="37" w:name="_Toc518902428"/>
      <w:bookmarkStart w:id="38" w:name="_Toc518902474"/>
      <w:bookmarkStart w:id="39" w:name="_Toc518902566"/>
      <w:bookmarkStart w:id="40" w:name="_Toc530401894"/>
      <w:bookmarkStart w:id="41" w:name="_Toc530407232"/>
      <w:bookmarkStart w:id="42" w:name="_Toc3358544"/>
      <w:bookmarkStart w:id="43" w:name="_Toc3358588"/>
      <w:bookmarkStart w:id="44" w:name="_Toc3358748"/>
      <w:bookmarkStart w:id="45" w:name="_Toc3358789"/>
      <w:bookmarkStart w:id="46" w:name="_Toc3358835"/>
      <w:bookmarkStart w:id="47" w:name="_Toc3358949"/>
      <w:bookmarkStart w:id="48" w:name="_Toc3359109"/>
      <w:bookmarkStart w:id="49" w:name="_Toc3359346"/>
      <w:bookmarkStart w:id="50" w:name="_Toc3359657"/>
      <w:bookmarkStart w:id="51" w:name="_Toc3359796"/>
      <w:bookmarkStart w:id="52" w:name="_Toc3359941"/>
      <w:bookmarkStart w:id="53" w:name="_Toc3360023"/>
      <w:bookmarkStart w:id="54" w:name="_Toc51174601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6FC24CB" w14:textId="77777777" w:rsidR="008B0F1A" w:rsidRPr="008B0F1A" w:rsidRDefault="008B0F1A" w:rsidP="006E7A4A">
      <w:pPr>
        <w:pStyle w:val="ListParagraph"/>
        <w:numPr>
          <w:ilvl w:val="0"/>
          <w:numId w:val="13"/>
        </w:numPr>
        <w:jc w:val="both"/>
        <w:outlineLvl w:val="1"/>
        <w:rPr>
          <w:b/>
          <w:bCs/>
          <w:vanish/>
        </w:rPr>
      </w:pPr>
      <w:bookmarkStart w:id="55" w:name="_Toc517706006"/>
      <w:bookmarkStart w:id="56" w:name="_Toc517706046"/>
      <w:bookmarkStart w:id="57" w:name="_Toc517706086"/>
      <w:bookmarkStart w:id="58" w:name="_Toc517706126"/>
      <w:bookmarkStart w:id="59" w:name="_Toc517768234"/>
      <w:bookmarkStart w:id="60" w:name="_Toc517771396"/>
      <w:bookmarkStart w:id="61" w:name="_Toc518902429"/>
      <w:bookmarkStart w:id="62" w:name="_Toc518902475"/>
      <w:bookmarkStart w:id="63" w:name="_Toc518902567"/>
      <w:bookmarkStart w:id="64" w:name="_Toc530401895"/>
      <w:bookmarkStart w:id="65" w:name="_Toc530407233"/>
      <w:bookmarkStart w:id="66" w:name="_Toc3358545"/>
      <w:bookmarkStart w:id="67" w:name="_Toc3358589"/>
      <w:bookmarkStart w:id="68" w:name="_Toc3358749"/>
      <w:bookmarkStart w:id="69" w:name="_Toc3358790"/>
      <w:bookmarkStart w:id="70" w:name="_Toc3358836"/>
      <w:bookmarkStart w:id="71" w:name="_Toc3358950"/>
      <w:bookmarkStart w:id="72" w:name="_Toc3359110"/>
      <w:bookmarkStart w:id="73" w:name="_Toc3359347"/>
      <w:bookmarkStart w:id="74" w:name="_Toc3359658"/>
      <w:bookmarkStart w:id="75" w:name="_Toc3359797"/>
      <w:bookmarkStart w:id="76" w:name="_Toc3359942"/>
      <w:bookmarkStart w:id="77" w:name="_Toc336002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3F08951" w14:textId="77777777" w:rsidR="008B0F1A" w:rsidRPr="008B0F1A" w:rsidRDefault="008B0F1A" w:rsidP="006E7A4A">
      <w:pPr>
        <w:pStyle w:val="ListParagraph"/>
        <w:numPr>
          <w:ilvl w:val="0"/>
          <w:numId w:val="13"/>
        </w:numPr>
        <w:jc w:val="both"/>
        <w:outlineLvl w:val="1"/>
        <w:rPr>
          <w:b/>
          <w:bCs/>
          <w:vanish/>
        </w:rPr>
      </w:pPr>
      <w:bookmarkStart w:id="78" w:name="_Toc517706007"/>
      <w:bookmarkStart w:id="79" w:name="_Toc517706047"/>
      <w:bookmarkStart w:id="80" w:name="_Toc517706087"/>
      <w:bookmarkStart w:id="81" w:name="_Toc517706127"/>
      <w:bookmarkStart w:id="82" w:name="_Toc517768235"/>
      <w:bookmarkStart w:id="83" w:name="_Toc517771397"/>
      <w:bookmarkStart w:id="84" w:name="_Toc518902430"/>
      <w:bookmarkStart w:id="85" w:name="_Toc518902476"/>
      <w:bookmarkStart w:id="86" w:name="_Toc518902568"/>
      <w:bookmarkStart w:id="87" w:name="_Toc530401896"/>
      <w:bookmarkStart w:id="88" w:name="_Toc530407234"/>
      <w:bookmarkStart w:id="89" w:name="_Toc3358546"/>
      <w:bookmarkStart w:id="90" w:name="_Toc3358590"/>
      <w:bookmarkStart w:id="91" w:name="_Toc3358750"/>
      <w:bookmarkStart w:id="92" w:name="_Toc3358791"/>
      <w:bookmarkStart w:id="93" w:name="_Toc3358837"/>
      <w:bookmarkStart w:id="94" w:name="_Toc3358951"/>
      <w:bookmarkStart w:id="95" w:name="_Toc3359111"/>
      <w:bookmarkStart w:id="96" w:name="_Toc3359348"/>
      <w:bookmarkStart w:id="97" w:name="_Toc3359659"/>
      <w:bookmarkStart w:id="98" w:name="_Toc3359798"/>
      <w:bookmarkStart w:id="99" w:name="_Toc3359943"/>
      <w:bookmarkStart w:id="100" w:name="_Toc336002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59285C3" w14:textId="77777777" w:rsidR="008B0F1A" w:rsidRPr="008B0F1A" w:rsidRDefault="008B0F1A" w:rsidP="006E7A4A">
      <w:pPr>
        <w:pStyle w:val="ListParagraph"/>
        <w:numPr>
          <w:ilvl w:val="0"/>
          <w:numId w:val="13"/>
        </w:numPr>
        <w:jc w:val="both"/>
        <w:outlineLvl w:val="1"/>
        <w:rPr>
          <w:b/>
          <w:bCs/>
          <w:vanish/>
        </w:rPr>
      </w:pPr>
      <w:bookmarkStart w:id="101" w:name="_Toc517706008"/>
      <w:bookmarkStart w:id="102" w:name="_Toc517706048"/>
      <w:bookmarkStart w:id="103" w:name="_Toc517706088"/>
      <w:bookmarkStart w:id="104" w:name="_Toc517706128"/>
      <w:bookmarkStart w:id="105" w:name="_Toc517768236"/>
      <w:bookmarkStart w:id="106" w:name="_Toc517771398"/>
      <w:bookmarkStart w:id="107" w:name="_Toc518902431"/>
      <w:bookmarkStart w:id="108" w:name="_Toc518902477"/>
      <w:bookmarkStart w:id="109" w:name="_Toc518902569"/>
      <w:bookmarkStart w:id="110" w:name="_Toc530401897"/>
      <w:bookmarkStart w:id="111" w:name="_Toc530407235"/>
      <w:bookmarkStart w:id="112" w:name="_Toc3358547"/>
      <w:bookmarkStart w:id="113" w:name="_Toc3358591"/>
      <w:bookmarkStart w:id="114" w:name="_Toc3358751"/>
      <w:bookmarkStart w:id="115" w:name="_Toc3358792"/>
      <w:bookmarkStart w:id="116" w:name="_Toc3358838"/>
      <w:bookmarkStart w:id="117" w:name="_Toc3358952"/>
      <w:bookmarkStart w:id="118" w:name="_Toc3359112"/>
      <w:bookmarkStart w:id="119" w:name="_Toc3359349"/>
      <w:bookmarkStart w:id="120" w:name="_Toc3359660"/>
      <w:bookmarkStart w:id="121" w:name="_Toc3359799"/>
      <w:bookmarkStart w:id="122" w:name="_Toc3359944"/>
      <w:bookmarkStart w:id="123" w:name="_Toc336002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A9F9234" w14:textId="77777777" w:rsidR="008B0F1A" w:rsidRPr="008B0F1A" w:rsidRDefault="008B0F1A" w:rsidP="006E7A4A">
      <w:pPr>
        <w:pStyle w:val="ListParagraph"/>
        <w:numPr>
          <w:ilvl w:val="0"/>
          <w:numId w:val="13"/>
        </w:numPr>
        <w:jc w:val="both"/>
        <w:outlineLvl w:val="1"/>
        <w:rPr>
          <w:b/>
          <w:bCs/>
          <w:vanish/>
        </w:rPr>
      </w:pPr>
      <w:bookmarkStart w:id="124" w:name="_Toc517706009"/>
      <w:bookmarkStart w:id="125" w:name="_Toc517706049"/>
      <w:bookmarkStart w:id="126" w:name="_Toc517706089"/>
      <w:bookmarkStart w:id="127" w:name="_Toc517706129"/>
      <w:bookmarkStart w:id="128" w:name="_Toc517768237"/>
      <w:bookmarkStart w:id="129" w:name="_Toc517771399"/>
      <w:bookmarkStart w:id="130" w:name="_Toc518902432"/>
      <w:bookmarkStart w:id="131" w:name="_Toc518902478"/>
      <w:bookmarkStart w:id="132" w:name="_Toc518902570"/>
      <w:bookmarkStart w:id="133" w:name="_Toc530401898"/>
      <w:bookmarkStart w:id="134" w:name="_Toc530407236"/>
      <w:bookmarkStart w:id="135" w:name="_Toc3358548"/>
      <w:bookmarkStart w:id="136" w:name="_Toc3358592"/>
      <w:bookmarkStart w:id="137" w:name="_Toc3358752"/>
      <w:bookmarkStart w:id="138" w:name="_Toc3358793"/>
      <w:bookmarkStart w:id="139" w:name="_Toc3358839"/>
      <w:bookmarkStart w:id="140" w:name="_Toc3358953"/>
      <w:bookmarkStart w:id="141" w:name="_Toc3359113"/>
      <w:bookmarkStart w:id="142" w:name="_Toc3359350"/>
      <w:bookmarkStart w:id="143" w:name="_Toc3359661"/>
      <w:bookmarkStart w:id="144" w:name="_Toc3359800"/>
      <w:bookmarkStart w:id="145" w:name="_Toc3359945"/>
      <w:bookmarkStart w:id="146" w:name="_Toc336002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0EF88D7" w14:textId="77777777" w:rsidR="008B0F1A" w:rsidRPr="008B0F1A" w:rsidRDefault="008B0F1A" w:rsidP="006E7A4A">
      <w:pPr>
        <w:pStyle w:val="ListParagraph"/>
        <w:numPr>
          <w:ilvl w:val="0"/>
          <w:numId w:val="13"/>
        </w:numPr>
        <w:jc w:val="both"/>
        <w:outlineLvl w:val="1"/>
        <w:rPr>
          <w:b/>
          <w:bCs/>
          <w:vanish/>
        </w:rPr>
      </w:pPr>
      <w:bookmarkStart w:id="147" w:name="_Toc517706010"/>
      <w:bookmarkStart w:id="148" w:name="_Toc517706050"/>
      <w:bookmarkStart w:id="149" w:name="_Toc517706090"/>
      <w:bookmarkStart w:id="150" w:name="_Toc517706130"/>
      <w:bookmarkStart w:id="151" w:name="_Toc517768238"/>
      <w:bookmarkStart w:id="152" w:name="_Toc517771400"/>
      <w:bookmarkStart w:id="153" w:name="_Toc518902433"/>
      <w:bookmarkStart w:id="154" w:name="_Toc518902479"/>
      <w:bookmarkStart w:id="155" w:name="_Toc518902571"/>
      <w:bookmarkStart w:id="156" w:name="_Toc530401899"/>
      <w:bookmarkStart w:id="157" w:name="_Toc530407237"/>
      <w:bookmarkStart w:id="158" w:name="_Toc3358549"/>
      <w:bookmarkStart w:id="159" w:name="_Toc3358593"/>
      <w:bookmarkStart w:id="160" w:name="_Toc3358753"/>
      <w:bookmarkStart w:id="161" w:name="_Toc3358794"/>
      <w:bookmarkStart w:id="162" w:name="_Toc3358840"/>
      <w:bookmarkStart w:id="163" w:name="_Toc3358954"/>
      <w:bookmarkStart w:id="164" w:name="_Toc3359114"/>
      <w:bookmarkStart w:id="165" w:name="_Toc3359351"/>
      <w:bookmarkStart w:id="166" w:name="_Toc3359662"/>
      <w:bookmarkStart w:id="167" w:name="_Toc3359801"/>
      <w:bookmarkStart w:id="168" w:name="_Toc3359946"/>
      <w:bookmarkStart w:id="169" w:name="_Toc336002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A1159D3" w14:textId="01E8A8A5" w:rsidR="008B0F1A" w:rsidRDefault="008B0F1A" w:rsidP="006E7A4A">
      <w:pPr>
        <w:pStyle w:val="Heading2"/>
        <w:numPr>
          <w:ilvl w:val="1"/>
          <w:numId w:val="13"/>
        </w:numPr>
        <w:jc w:val="both"/>
        <w:rPr>
          <w:sz w:val="24"/>
        </w:rPr>
      </w:pPr>
      <w:r>
        <w:rPr>
          <w:sz w:val="24"/>
        </w:rPr>
        <w:t xml:space="preserve"> </w:t>
      </w:r>
      <w:bookmarkStart w:id="170" w:name="_Toc3360029"/>
      <w:bookmarkEnd w:id="54"/>
      <w:r>
        <w:rPr>
          <w:sz w:val="24"/>
        </w:rPr>
        <w:t>General Account Management</w:t>
      </w:r>
      <w:bookmarkEnd w:id="170"/>
      <w:r w:rsidRPr="00D1375F">
        <w:rPr>
          <w:sz w:val="24"/>
        </w:rPr>
        <w:t xml:space="preserve"> </w:t>
      </w:r>
    </w:p>
    <w:p w14:paraId="546ADE5F" w14:textId="60D025E2" w:rsidR="007F2BF6" w:rsidRPr="007F2BF6" w:rsidRDefault="007F2BF6" w:rsidP="006E7A4A">
      <w:pPr>
        <w:pStyle w:val="NumList1"/>
        <w:numPr>
          <w:ilvl w:val="0"/>
          <w:numId w:val="14"/>
        </w:numPr>
      </w:pPr>
      <w:r w:rsidRPr="007F2BF6">
        <w:t xml:space="preserve">Provide the name(s) of the </w:t>
      </w:r>
      <w:r>
        <w:t>actuary</w:t>
      </w:r>
      <w:r w:rsidRPr="007F2BF6">
        <w:t xml:space="preserve">(s) who will provide services to the Board </w:t>
      </w:r>
      <w:r>
        <w:t xml:space="preserve">and DFA </w:t>
      </w:r>
      <w:r w:rsidRPr="007F2BF6">
        <w:t xml:space="preserve">and a brief statement as to why each is qualified to perform this work.  Specifically identify the </w:t>
      </w:r>
      <w:r>
        <w:t>actuary</w:t>
      </w:r>
      <w:r w:rsidRPr="007F2BF6">
        <w:t xml:space="preserve"> who will serve as the primary contact for the Board</w:t>
      </w:r>
      <w:r>
        <w:t xml:space="preserve"> and DFA</w:t>
      </w:r>
      <w:r w:rsidRPr="007F2BF6">
        <w:t xml:space="preserve">. </w:t>
      </w:r>
      <w:r>
        <w:t xml:space="preserve"> </w:t>
      </w:r>
      <w:r w:rsidRPr="007F2BF6">
        <w:t xml:space="preserve">The Board </w:t>
      </w:r>
      <w:r>
        <w:t xml:space="preserve">and DFA </w:t>
      </w:r>
      <w:r w:rsidRPr="007F2BF6">
        <w:t xml:space="preserve">understand that </w:t>
      </w:r>
      <w:r>
        <w:t>actuary</w:t>
      </w:r>
      <w:r w:rsidRPr="007F2BF6">
        <w:t xml:space="preserve">(s) will be assigned to projects based on the type of project to be undertaken and the expertise and experience of the individual </w:t>
      </w:r>
      <w:r w:rsidR="006C2D52">
        <w:t>actuary</w:t>
      </w:r>
      <w:bookmarkStart w:id="171" w:name="_GoBack"/>
      <w:bookmarkEnd w:id="171"/>
      <w:r w:rsidRPr="007F2BF6">
        <w:t xml:space="preserve">.  For example, based on an </w:t>
      </w:r>
      <w:r>
        <w:t>actuary</w:t>
      </w:r>
      <w:r w:rsidRPr="007F2BF6">
        <w:t xml:space="preserve">’s expertise and experience, the proposer may assign the </w:t>
      </w:r>
      <w:r>
        <w:t>actuary</w:t>
      </w:r>
      <w:r w:rsidRPr="007F2BF6">
        <w:t xml:space="preserve"> to assist in the selection and implementation of a third party administrator for medical claims, but may assign a different </w:t>
      </w:r>
      <w:r>
        <w:t>actuary</w:t>
      </w:r>
      <w:r w:rsidRPr="007F2BF6">
        <w:t xml:space="preserve"> to assist in the </w:t>
      </w:r>
      <w:r>
        <w:t>premium rate evaluation project</w:t>
      </w:r>
      <w:r w:rsidRPr="007F2BF6">
        <w:t xml:space="preserve">.  Briefly identify the area(s) of expertise for each </w:t>
      </w:r>
      <w:r>
        <w:t>actuary</w:t>
      </w:r>
      <w:r w:rsidRPr="007F2BF6">
        <w:t xml:space="preserve"> and provide specific examples of previous work. </w:t>
      </w:r>
    </w:p>
    <w:p w14:paraId="1653E491" w14:textId="1C683122" w:rsidR="008B0F1A" w:rsidRDefault="008B0F1A" w:rsidP="006E7A4A">
      <w:pPr>
        <w:pStyle w:val="NumList1"/>
        <w:numPr>
          <w:ilvl w:val="0"/>
          <w:numId w:val="14"/>
        </w:numPr>
        <w:spacing w:before="0" w:after="0"/>
      </w:pPr>
      <w:r>
        <w:t xml:space="preserve">The Board </w:t>
      </w:r>
      <w:r w:rsidR="007F2BF6">
        <w:t xml:space="preserve">and DFA </w:t>
      </w:r>
      <w:r>
        <w:t xml:space="preserve">must have prompt and direct access throughout the contract period to the </w:t>
      </w:r>
      <w:r w:rsidRPr="008B0F1A">
        <w:rPr>
          <w:bCs/>
        </w:rPr>
        <w:t xml:space="preserve">Consulting </w:t>
      </w:r>
      <w:r w:rsidRPr="00360101">
        <w:t>Actuary</w:t>
      </w:r>
      <w:r>
        <w:t xml:space="preserve">. Address in detail how your firm will provide access to the </w:t>
      </w:r>
      <w:r w:rsidRPr="008B0F1A">
        <w:rPr>
          <w:bCs/>
        </w:rPr>
        <w:t xml:space="preserve">Consulting </w:t>
      </w:r>
      <w:r w:rsidRPr="00360101">
        <w:t>Actuary</w:t>
      </w:r>
      <w:r>
        <w:t xml:space="preserve"> to the Board. </w:t>
      </w:r>
    </w:p>
    <w:p w14:paraId="013AE4D0" w14:textId="3EFB4AF8" w:rsidR="002C39EB" w:rsidRDefault="002C39EB" w:rsidP="006E7A4A">
      <w:pPr>
        <w:pStyle w:val="NumList1"/>
        <w:numPr>
          <w:ilvl w:val="0"/>
          <w:numId w:val="14"/>
        </w:numPr>
      </w:pPr>
      <w:r>
        <w:t xml:space="preserve">Describe your firm’s system controls, security protocols, and any other resources used to ensure the confidentiality and integrity of the Board’s and DFA’s data and information. Describe your firm’s information and data system generally. </w:t>
      </w:r>
    </w:p>
    <w:p w14:paraId="5602BDD4" w14:textId="372B9653" w:rsidR="008B0F1A" w:rsidRDefault="008B0F1A" w:rsidP="006E7A4A">
      <w:pPr>
        <w:pStyle w:val="Heading2"/>
        <w:numPr>
          <w:ilvl w:val="1"/>
          <w:numId w:val="13"/>
        </w:numPr>
        <w:jc w:val="both"/>
        <w:rPr>
          <w:sz w:val="24"/>
        </w:rPr>
      </w:pPr>
      <w:bookmarkStart w:id="172" w:name="_Toc3360030"/>
      <w:r>
        <w:rPr>
          <w:sz w:val="24"/>
        </w:rPr>
        <w:t xml:space="preserve">Actuarial </w:t>
      </w:r>
      <w:r w:rsidRPr="00AC45D1">
        <w:rPr>
          <w:sz w:val="24"/>
        </w:rPr>
        <w:t xml:space="preserve">Consulting Services </w:t>
      </w:r>
      <w:r w:rsidRPr="008B0F1A">
        <w:rPr>
          <w:sz w:val="24"/>
        </w:rPr>
        <w:t>Self-Insured Workers’ Compensation Trust</w:t>
      </w:r>
      <w:bookmarkEnd w:id="172"/>
    </w:p>
    <w:p w14:paraId="4D8E2CAF" w14:textId="77777777" w:rsidR="007F2BF6" w:rsidRPr="007F2BF6" w:rsidRDefault="007F2BF6" w:rsidP="007F2BF6"/>
    <w:p w14:paraId="31C303DE" w14:textId="102C9074" w:rsidR="008B0F1A" w:rsidRPr="00AC45D1" w:rsidRDefault="008B0F1A" w:rsidP="006E7A4A">
      <w:pPr>
        <w:pStyle w:val="NumList1"/>
        <w:numPr>
          <w:ilvl w:val="0"/>
          <w:numId w:val="22"/>
        </w:numPr>
        <w:spacing w:before="0" w:after="0"/>
      </w:pPr>
      <w:r w:rsidRPr="00AC45D1">
        <w:t xml:space="preserve">Provide current </w:t>
      </w:r>
      <w:r>
        <w:t xml:space="preserve">“sanitized” examples </w:t>
      </w:r>
      <w:r w:rsidRPr="00AC45D1">
        <w:t>of an actuarial analysis and funding recommendation prepared by your firm for a self-insured workers’ compensation program.</w:t>
      </w:r>
      <w:r w:rsidR="005B4E88">
        <w:t xml:space="preserve"> These examples should not include any vendor or client identifiers. </w:t>
      </w:r>
    </w:p>
    <w:p w14:paraId="2178193E" w14:textId="5C1663A8" w:rsidR="008B0F1A" w:rsidRPr="00AC45D1" w:rsidRDefault="008B0F1A" w:rsidP="00317CF7">
      <w:pPr>
        <w:pStyle w:val="NumList1"/>
        <w:numPr>
          <w:ilvl w:val="0"/>
          <w:numId w:val="2"/>
        </w:numPr>
      </w:pPr>
      <w:r w:rsidRPr="00AC45D1">
        <w:t xml:space="preserve">Provide current </w:t>
      </w:r>
      <w:r>
        <w:t xml:space="preserve">“sanitized” examples </w:t>
      </w:r>
      <w:r w:rsidRPr="00AC45D1">
        <w:t>of a workers’ compensation premium rate development your firm has prepared.</w:t>
      </w:r>
      <w:r w:rsidR="008D6E95">
        <w:t xml:space="preserve"> These examples should not include any vendor or client identifiers.</w:t>
      </w:r>
    </w:p>
    <w:p w14:paraId="176D1ED7" w14:textId="60E7B259" w:rsidR="008B0F1A" w:rsidRDefault="008B0F1A" w:rsidP="00317CF7">
      <w:pPr>
        <w:pStyle w:val="NumList1"/>
      </w:pPr>
      <w:r>
        <w:t xml:space="preserve">Describe in detail the type work performed by the primary contact for a self-insured </w:t>
      </w:r>
      <w:r w:rsidR="007F2BF6">
        <w:t>workers’ compensation program</w:t>
      </w:r>
      <w:r>
        <w:t xml:space="preserve"> with at least </w:t>
      </w:r>
      <w:r w:rsidR="007F2BF6">
        <w:t>20,000</w:t>
      </w:r>
      <w:r>
        <w:t xml:space="preserve"> covered lives, including dates of service.</w:t>
      </w:r>
    </w:p>
    <w:p w14:paraId="5044E43D" w14:textId="4052AA3B" w:rsidR="008B0F1A" w:rsidRPr="00AC45D1" w:rsidRDefault="008B0F1A" w:rsidP="00317CF7">
      <w:pPr>
        <w:pStyle w:val="NumList1"/>
        <w:numPr>
          <w:ilvl w:val="0"/>
          <w:numId w:val="2"/>
        </w:numPr>
      </w:pPr>
      <w:r w:rsidRPr="00AC45D1">
        <w:t>Explain in detail the amount of experience you</w:t>
      </w:r>
      <w:r w:rsidR="001A39C2">
        <w:t>r firm has</w:t>
      </w:r>
      <w:r w:rsidRPr="00AC45D1">
        <w:t xml:space="preserve"> in developing workers’ compensation premium rates.</w:t>
      </w:r>
    </w:p>
    <w:p w14:paraId="34401AA3" w14:textId="6DC432C3" w:rsidR="008B0F1A" w:rsidRDefault="008B0F1A" w:rsidP="00317CF7">
      <w:pPr>
        <w:pStyle w:val="NumList1"/>
      </w:pPr>
      <w:r>
        <w:t xml:space="preserve">Explain in detail your ability to provide the experience and expertise in preparing the actuarial analyses and funding recommendations </w:t>
      </w:r>
      <w:r w:rsidR="002C39EB">
        <w:t>for</w:t>
      </w:r>
      <w:r w:rsidR="001A39C2">
        <w:t xml:space="preserve"> self-insured workers’ compensation program</w:t>
      </w:r>
      <w:r w:rsidR="002C39EB">
        <w:t>s</w:t>
      </w:r>
      <w:r>
        <w:t>.</w:t>
      </w:r>
    </w:p>
    <w:p w14:paraId="1A4ABE27" w14:textId="0C09DD91" w:rsidR="008B0F1A" w:rsidRPr="00AC45D1" w:rsidRDefault="008B0F1A" w:rsidP="00317CF7">
      <w:pPr>
        <w:pStyle w:val="NumList1"/>
        <w:numPr>
          <w:ilvl w:val="0"/>
          <w:numId w:val="2"/>
        </w:numPr>
      </w:pPr>
      <w:r w:rsidRPr="00AC45D1">
        <w:t>Explain in detail your ability to provide the experience and expertise in the assisting with the selection and transition to a new third party claims administrator for workers’ compensation programs.</w:t>
      </w:r>
      <w:r>
        <w:t xml:space="preserve"> Detail how your </w:t>
      </w:r>
      <w:r w:rsidR="00DE6707">
        <w:t>firm</w:t>
      </w:r>
      <w:r>
        <w:t xml:space="preserve">’s experience and expertise benefits the client. </w:t>
      </w:r>
    </w:p>
    <w:p w14:paraId="47454F6E" w14:textId="77777777" w:rsidR="008B0F1A" w:rsidRPr="00AC45D1" w:rsidRDefault="008B0F1A" w:rsidP="00317CF7">
      <w:pPr>
        <w:pStyle w:val="NumList1"/>
      </w:pPr>
      <w:r w:rsidRPr="00AC45D1">
        <w:t>Describe your ability to assist in workers’ compensation policy issues. Provide examples of this type of work with other states.</w:t>
      </w:r>
    </w:p>
    <w:p w14:paraId="490516A9" w14:textId="2414B426" w:rsidR="008B0F1A" w:rsidRDefault="008B0F1A" w:rsidP="00317CF7">
      <w:pPr>
        <w:pStyle w:val="NumList1"/>
      </w:pPr>
      <w:r>
        <w:t>Detail your firm’s ability to monitor regulatory and legislative developments at both the state and federal level and how will this be communicated to the Board and/or DFA.</w:t>
      </w:r>
    </w:p>
    <w:p w14:paraId="77140D8E" w14:textId="6F0EC1BA" w:rsidR="008B0F1A" w:rsidRDefault="00D47B95" w:rsidP="002C39EB">
      <w:pPr>
        <w:pStyle w:val="NumList1"/>
      </w:pPr>
      <w:r>
        <w:t>D</w:t>
      </w:r>
      <w:r w:rsidR="002C39EB" w:rsidRPr="002C39EB">
        <w:t xml:space="preserve">escribe your </w:t>
      </w:r>
      <w:r>
        <w:t>knowledge/</w:t>
      </w:r>
      <w:r w:rsidR="002C39EB" w:rsidRPr="002C39EB">
        <w:t xml:space="preserve">experience </w:t>
      </w:r>
      <w:r>
        <w:t>with</w:t>
      </w:r>
      <w:r w:rsidR="002C39EB" w:rsidRPr="002C39EB">
        <w:t xml:space="preserve"> the Mississippi worker’s compensation environment.</w:t>
      </w:r>
    </w:p>
    <w:p w14:paraId="2DEEF99C" w14:textId="026036EA" w:rsidR="008B0F1A" w:rsidRDefault="008B0F1A" w:rsidP="006E7A4A">
      <w:pPr>
        <w:pStyle w:val="Heading2"/>
        <w:numPr>
          <w:ilvl w:val="1"/>
          <w:numId w:val="13"/>
        </w:numPr>
        <w:ind w:left="418" w:hanging="418"/>
        <w:jc w:val="both"/>
        <w:rPr>
          <w:sz w:val="24"/>
        </w:rPr>
      </w:pPr>
      <w:bookmarkStart w:id="173" w:name="_Toc3360031"/>
      <w:r>
        <w:rPr>
          <w:sz w:val="24"/>
        </w:rPr>
        <w:t>Actuarial Consulting Services for Employment Compensation Revolving Fund</w:t>
      </w:r>
      <w:bookmarkEnd w:id="173"/>
      <w:r>
        <w:rPr>
          <w:sz w:val="24"/>
        </w:rPr>
        <w:t xml:space="preserve"> </w:t>
      </w:r>
      <w:r w:rsidRPr="00D1375F">
        <w:rPr>
          <w:sz w:val="24"/>
        </w:rPr>
        <w:t xml:space="preserve"> </w:t>
      </w:r>
    </w:p>
    <w:p w14:paraId="4027573F" w14:textId="77777777" w:rsidR="008D6E95" w:rsidRPr="008D6E95" w:rsidRDefault="008D6E95" w:rsidP="00317CF7"/>
    <w:p w14:paraId="7343667C" w14:textId="46DD145C" w:rsidR="0077021F" w:rsidRDefault="0077021F" w:rsidP="006E7A4A">
      <w:pPr>
        <w:pStyle w:val="NumList1"/>
        <w:numPr>
          <w:ilvl w:val="0"/>
          <w:numId w:val="23"/>
        </w:numPr>
        <w:spacing w:before="0" w:after="0"/>
      </w:pPr>
      <w:r>
        <w:t xml:space="preserve">Explain in detail your ability to </w:t>
      </w:r>
      <w:r w:rsidR="008D6E95">
        <w:t xml:space="preserve">provide the experience and expertise in </w:t>
      </w:r>
      <w:r>
        <w:t xml:space="preserve">preparing an actuarial analyses and funding recommendations for an employment compensation revolving fund. </w:t>
      </w:r>
    </w:p>
    <w:p w14:paraId="3BA472D5" w14:textId="7FB0071C" w:rsidR="0077021F" w:rsidRPr="00AC45D1" w:rsidRDefault="0077021F" w:rsidP="00317CF7">
      <w:pPr>
        <w:pStyle w:val="NumList1"/>
      </w:pPr>
      <w:r w:rsidRPr="00AC45D1">
        <w:t xml:space="preserve">Provide current </w:t>
      </w:r>
      <w:r>
        <w:t xml:space="preserve">“sanitized” examples </w:t>
      </w:r>
      <w:r w:rsidRPr="00AC45D1">
        <w:t>of an actuarial analysis and funding recommendation prepared by your firm for a</w:t>
      </w:r>
      <w:r>
        <w:t xml:space="preserve">n employment compensation </w:t>
      </w:r>
      <w:r w:rsidR="00771649">
        <w:t xml:space="preserve">revolving fund, or similar </w:t>
      </w:r>
      <w:r>
        <w:t xml:space="preserve">program. </w:t>
      </w:r>
      <w:r w:rsidR="008D6E95">
        <w:t>These examples should not include any vendor or client identifiers.</w:t>
      </w:r>
    </w:p>
    <w:p w14:paraId="35E9C3E0" w14:textId="7FEFB837" w:rsidR="008D6E95" w:rsidRDefault="008B0F1A" w:rsidP="006E7A4A">
      <w:pPr>
        <w:pStyle w:val="Heading2"/>
        <w:numPr>
          <w:ilvl w:val="1"/>
          <w:numId w:val="13"/>
        </w:numPr>
        <w:jc w:val="both"/>
        <w:rPr>
          <w:sz w:val="24"/>
        </w:rPr>
      </w:pPr>
      <w:bookmarkStart w:id="174" w:name="_Toc3360032"/>
      <w:r>
        <w:rPr>
          <w:sz w:val="24"/>
        </w:rPr>
        <w:t>Communications</w:t>
      </w:r>
      <w:bookmarkEnd w:id="174"/>
      <w:r>
        <w:rPr>
          <w:sz w:val="24"/>
        </w:rPr>
        <w:t xml:space="preserve"> </w:t>
      </w:r>
    </w:p>
    <w:p w14:paraId="2A7B20F9" w14:textId="77777777" w:rsidR="008D6E95" w:rsidRPr="008D6E95" w:rsidRDefault="008D6E95" w:rsidP="00317CF7"/>
    <w:p w14:paraId="4DFEE1C1" w14:textId="22143EF1" w:rsidR="004872EC" w:rsidRPr="00AC45D1" w:rsidRDefault="004872EC" w:rsidP="006E7A4A">
      <w:pPr>
        <w:pStyle w:val="NumList1"/>
        <w:numPr>
          <w:ilvl w:val="0"/>
          <w:numId w:val="24"/>
        </w:numPr>
        <w:spacing w:before="0" w:after="0"/>
      </w:pPr>
      <w:r w:rsidRPr="00AC45D1">
        <w:t>Do you publish newsletters and other informative publications that are routinely provided to your clients?  If so, please provide recent samples.</w:t>
      </w:r>
    </w:p>
    <w:p w14:paraId="15ED1670" w14:textId="776EE60B" w:rsidR="002B6C72" w:rsidRDefault="002B6C72" w:rsidP="00317CF7">
      <w:pPr>
        <w:pStyle w:val="Heading2"/>
        <w:rPr>
          <w:sz w:val="24"/>
        </w:rPr>
      </w:pPr>
    </w:p>
    <w:p w14:paraId="4CE22ED5" w14:textId="77777777" w:rsidR="0039499C" w:rsidRPr="00131203" w:rsidRDefault="0039499C" w:rsidP="00317CF7">
      <w:pPr>
        <w:ind w:left="1080"/>
        <w:rPr>
          <w:highlight w:val="green"/>
        </w:rPr>
      </w:pPr>
    </w:p>
    <w:p w14:paraId="2B51C931" w14:textId="77777777" w:rsidR="00AC45D1" w:rsidRDefault="00AC45D1" w:rsidP="00317CF7">
      <w:pPr>
        <w:rPr>
          <w:b/>
          <w:bCs/>
        </w:rPr>
      </w:pPr>
      <w:bookmarkStart w:id="175" w:name="_Toc511746025"/>
      <w:r>
        <w:br w:type="page"/>
      </w:r>
    </w:p>
    <w:p w14:paraId="6E6D630D" w14:textId="7C5D88B0" w:rsidR="0039499C" w:rsidRDefault="0039499C" w:rsidP="00317CF7">
      <w:pPr>
        <w:pStyle w:val="Heading1"/>
        <w:rPr>
          <w:sz w:val="24"/>
        </w:rPr>
      </w:pPr>
      <w:bookmarkStart w:id="176" w:name="_Toc3360033"/>
      <w:r>
        <w:rPr>
          <w:sz w:val="24"/>
        </w:rPr>
        <w:t>Section 7. FEE SCHEDULE</w:t>
      </w:r>
      <w:bookmarkEnd w:id="175"/>
      <w:bookmarkEnd w:id="176"/>
    </w:p>
    <w:p w14:paraId="757DE50D" w14:textId="77777777" w:rsidR="0039499C" w:rsidRDefault="0039499C" w:rsidP="00317CF7">
      <w:pPr>
        <w:pStyle w:val="BodyText"/>
        <w:jc w:val="left"/>
        <w:rPr>
          <w:b/>
          <w:bCs/>
        </w:rPr>
      </w:pPr>
    </w:p>
    <w:p w14:paraId="79C92353" w14:textId="59B95628" w:rsidR="0039499C" w:rsidRDefault="004277A5" w:rsidP="00317CF7">
      <w:pPr>
        <w:pStyle w:val="NoSpacing"/>
        <w:tabs>
          <w:tab w:val="left" w:pos="2520"/>
          <w:tab w:val="right" w:leader="underscore" w:pos="3600"/>
          <w:tab w:val="left" w:pos="3960"/>
          <w:tab w:val="right" w:leader="underscore" w:pos="5040"/>
          <w:tab w:val="left" w:pos="5400"/>
          <w:tab w:val="right" w:leader="underscore" w:pos="6480"/>
          <w:tab w:val="left" w:pos="6840"/>
          <w:tab w:val="right" w:leader="underscore" w:pos="7920"/>
          <w:tab w:val="left" w:pos="8280"/>
          <w:tab w:val="right" w:leader="underscore" w:pos="9360"/>
        </w:tabs>
        <w:ind w:left="0"/>
      </w:pPr>
      <w:r>
        <w:t>DFA</w:t>
      </w:r>
      <w:r w:rsidR="0039499C" w:rsidRPr="009616BD">
        <w:t>’s requirements regarding compensation</w:t>
      </w:r>
      <w:r w:rsidR="0039499C">
        <w:t xml:space="preserve"> are as follows:</w:t>
      </w:r>
    </w:p>
    <w:p w14:paraId="7C0320A9" w14:textId="0CA3EC20" w:rsidR="001A5B6B" w:rsidRPr="001A5B6B" w:rsidRDefault="0039499C" w:rsidP="006E7A4A">
      <w:pPr>
        <w:pStyle w:val="ListParagraph"/>
        <w:numPr>
          <w:ilvl w:val="0"/>
          <w:numId w:val="17"/>
        </w:numPr>
        <w:jc w:val="both"/>
      </w:pPr>
      <w:r w:rsidRPr="000A45BB">
        <w:t xml:space="preserve">The fees listed in Section </w:t>
      </w:r>
      <w:r>
        <w:t>7</w:t>
      </w:r>
      <w:r w:rsidRPr="000A45BB">
        <w:t xml:space="preserve"> – </w:t>
      </w:r>
      <w:r w:rsidR="00C71805" w:rsidRPr="001A5B6B">
        <w:rPr>
          <w:b/>
          <w:i/>
        </w:rPr>
        <w:t>Fee Schedule for Actuarial Consulting</w:t>
      </w:r>
      <w:r w:rsidR="002E2041" w:rsidRPr="001A5B6B">
        <w:rPr>
          <w:b/>
          <w:i/>
        </w:rPr>
        <w:t xml:space="preserve"> Services</w:t>
      </w:r>
      <w:r w:rsidRPr="000A45BB">
        <w:t xml:space="preserve">, shall constitute the entire compensation due to the Consulting Actuary for services and all of the Consulting Actuary’s obligations hereunder regardless of the difficulty, materials, or equipment required. The fees include, but are not limited to, all applicable taxes, fees, general office expense, </w:t>
      </w:r>
      <w:r>
        <w:t xml:space="preserve">travel, </w:t>
      </w:r>
      <w:r w:rsidRPr="000A45BB">
        <w:t xml:space="preserve">overhead, profit, and all other direct and indirect costs, incurred or to be incurred, by the Consulting Actuary. </w:t>
      </w:r>
      <w:r w:rsidR="004277A5">
        <w:t>Neither the Board nor DFA</w:t>
      </w:r>
      <w:r w:rsidR="00434D36" w:rsidRPr="00914A1B">
        <w:t xml:space="preserve"> shall provide any prepayments or initial deposits in advance of services being rendered. Fees for services provided by the </w:t>
      </w:r>
      <w:r w:rsidR="00CA6F55" w:rsidRPr="000A45BB">
        <w:t>Consulting Actuary</w:t>
      </w:r>
      <w:r w:rsidR="00434D36" w:rsidRPr="00914A1B">
        <w:t xml:space="preserve"> shall be billable to the Board in arrears on a monthly basis. Only those services agreed to by contract shall be considered for reimbursement/compensation by </w:t>
      </w:r>
      <w:r w:rsidR="004277A5">
        <w:t>the Board or DFA</w:t>
      </w:r>
      <w:r w:rsidR="00434D36" w:rsidRPr="00914A1B">
        <w:t xml:space="preserve">.  Payment for any and all services provided by the </w:t>
      </w:r>
      <w:r w:rsidR="00CA6F55" w:rsidRPr="000A45BB">
        <w:t>Consulting Actuary</w:t>
      </w:r>
      <w:r w:rsidR="00434D36" w:rsidRPr="00914A1B">
        <w:t xml:space="preserve"> to the Board and/or </w:t>
      </w:r>
      <w:r w:rsidR="004277A5">
        <w:t>DFA</w:t>
      </w:r>
      <w:r w:rsidR="00434D36" w:rsidRPr="00914A1B">
        <w:t xml:space="preserve"> shall be made only after said services have been duly performed and properly invoiced.</w:t>
      </w:r>
      <w:r w:rsidR="001A5B6B">
        <w:t xml:space="preserve">  </w:t>
      </w:r>
      <w:r w:rsidR="001A5B6B" w:rsidRPr="001A5B6B">
        <w:t xml:space="preserve">The hourly rates </w:t>
      </w:r>
      <w:r w:rsidR="00CE05A0">
        <w:t xml:space="preserve">and maximum project fees </w:t>
      </w:r>
      <w:r w:rsidR="001A5B6B" w:rsidRPr="001A5B6B">
        <w:t xml:space="preserve">listed in </w:t>
      </w:r>
      <w:r w:rsidR="001A5B6B" w:rsidRPr="001A5B6B">
        <w:rPr>
          <w:b/>
          <w:i/>
        </w:rPr>
        <w:t>Fee Schedule for Actuarial Consulting Services</w:t>
      </w:r>
      <w:r w:rsidR="001A5B6B" w:rsidRPr="001A5B6B">
        <w:t xml:space="preserve"> are firm for the duration of this contract and are not subject to escalation for any reason, unless this contract is duly amended. </w:t>
      </w:r>
    </w:p>
    <w:p w14:paraId="70EA4BC6" w14:textId="4D8236EF" w:rsidR="0039499C" w:rsidRDefault="0039499C" w:rsidP="001A5B6B">
      <w:pPr>
        <w:pStyle w:val="ListParagraph"/>
        <w:jc w:val="both"/>
      </w:pPr>
    </w:p>
    <w:p w14:paraId="21AFE178" w14:textId="61BC0D74" w:rsidR="00434D36" w:rsidRPr="00914A1B" w:rsidRDefault="00434D36" w:rsidP="006E7A4A">
      <w:pPr>
        <w:pStyle w:val="ListParagraph"/>
        <w:numPr>
          <w:ilvl w:val="0"/>
          <w:numId w:val="17"/>
        </w:numPr>
        <w:contextualSpacing/>
        <w:jc w:val="both"/>
      </w:pPr>
      <w:r w:rsidRPr="00914A1B">
        <w:t xml:space="preserve">The </w:t>
      </w:r>
      <w:r w:rsidR="00CA6F55" w:rsidRPr="000A45BB">
        <w:t>Consulting Actuary</w:t>
      </w:r>
      <w:r w:rsidRPr="00914A1B">
        <w:t xml:space="preserve"> must submit all invoices, in a form acceptable to </w:t>
      </w:r>
      <w:r w:rsidR="00B31679">
        <w:t>DFA</w:t>
      </w:r>
      <w:r w:rsidRPr="00914A1B">
        <w:t xml:space="preserve"> (provided that such acceptance will not be unreasonably withheld) with all the necessary supporting documentation, prior to any payment to the </w:t>
      </w:r>
      <w:r w:rsidR="00CA6F55" w:rsidRPr="000A45BB">
        <w:t>Consulting Actuary</w:t>
      </w:r>
      <w:r w:rsidRPr="00914A1B">
        <w:t xml:space="preserve"> of any administrative</w:t>
      </w:r>
      <w:r w:rsidRPr="00672FB6">
        <w:t xml:space="preserve"> fees.  Administrative fees must be invoiced on a monthly basis, in sufficient detail and format as determined by </w:t>
      </w:r>
      <w:r w:rsidR="00B31679">
        <w:t>DFA</w:t>
      </w:r>
      <w:r w:rsidRPr="00672FB6">
        <w:t xml:space="preserve">.  Such invoices shall include, at a minimum, a description of the service(s) provided, the quantity or number of </w:t>
      </w:r>
      <w:r>
        <w:t xml:space="preserve">hours </w:t>
      </w:r>
      <w:r w:rsidRPr="00672FB6">
        <w:t xml:space="preserve">billed, the compensation rate, the time period in which services were provided, total compensation requested for each individual service being billed, and total administrative fees requested for the period being invoiced.  The Board </w:t>
      </w:r>
      <w:r w:rsidR="00B31679">
        <w:t>and/or DFA agree</w:t>
      </w:r>
      <w:r w:rsidRPr="00672FB6">
        <w:t xml:space="preserve"> to make payment to the </w:t>
      </w:r>
      <w:r w:rsidR="00CA6F55" w:rsidRPr="000A45BB">
        <w:t>Consulting Actuary</w:t>
      </w:r>
      <w:r w:rsidRPr="00672FB6">
        <w:t xml:space="preserve"> on any undisputed amounts within thirty (30) days from the date services were rendered or the date of receipt of the invoice, whichever comes last.  Upon the effective date of termination of this </w:t>
      </w:r>
      <w:r>
        <w:t>c</w:t>
      </w:r>
      <w:r w:rsidRPr="00672FB6">
        <w:t xml:space="preserve">ontract, the </w:t>
      </w:r>
      <w:r w:rsidR="00CA6F55" w:rsidRPr="000A45BB">
        <w:t>Consulting Actuary</w:t>
      </w:r>
      <w:r w:rsidRPr="00672FB6">
        <w:t xml:space="preserve">’s obligation to provide any further services under this </w:t>
      </w:r>
      <w:r>
        <w:t>c</w:t>
      </w:r>
      <w:r w:rsidRPr="00672FB6">
        <w:t xml:space="preserve">ontract shall cease.  The </w:t>
      </w:r>
      <w:r w:rsidR="00CA6F55" w:rsidRPr="000A45BB">
        <w:t>Consulting Actuary</w:t>
      </w:r>
      <w:r w:rsidRPr="00672FB6">
        <w:t xml:space="preserve"> shall, however, remain liable for any obligations arising hereunder prior to the effective date of such termination.</w:t>
      </w:r>
      <w:r>
        <w:t xml:space="preserve"> </w:t>
      </w:r>
      <w:r w:rsidRPr="00672FB6">
        <w:t xml:space="preserve">No additional compensation will be provided by </w:t>
      </w:r>
      <w:r w:rsidRPr="00914A1B">
        <w:t xml:space="preserve">the Board </w:t>
      </w:r>
      <w:r w:rsidR="00B31679">
        <w:t xml:space="preserve">or DFA </w:t>
      </w:r>
      <w:r w:rsidRPr="00914A1B">
        <w:t>for any expense, cost, or fee not specifically authorized by this contract, or by written authorization from the Board</w:t>
      </w:r>
      <w:r w:rsidR="00B31679">
        <w:t xml:space="preserve"> and/or DFA</w:t>
      </w:r>
      <w:r w:rsidRPr="00914A1B">
        <w:t>.</w:t>
      </w:r>
    </w:p>
    <w:p w14:paraId="63AAFD7A" w14:textId="77777777" w:rsidR="0039499C" w:rsidRPr="000A45BB" w:rsidRDefault="0039499C" w:rsidP="00317CF7">
      <w:pPr>
        <w:jc w:val="both"/>
      </w:pPr>
    </w:p>
    <w:p w14:paraId="469C7EEE" w14:textId="16E73D95" w:rsidR="0039499C" w:rsidRDefault="0039499C" w:rsidP="006E7A4A">
      <w:pPr>
        <w:pStyle w:val="ListParagraph"/>
        <w:numPr>
          <w:ilvl w:val="0"/>
          <w:numId w:val="17"/>
        </w:numPr>
        <w:jc w:val="both"/>
      </w:pPr>
      <w:r w:rsidRPr="000A45BB">
        <w:t xml:space="preserve">The payment of an invoice by the Board </w:t>
      </w:r>
      <w:r w:rsidR="00F85133">
        <w:t xml:space="preserve">or DFA </w:t>
      </w:r>
      <w:r w:rsidRPr="000A45BB">
        <w:t xml:space="preserve">shall not prejudice the Board’s </w:t>
      </w:r>
      <w:r w:rsidR="00F85133">
        <w:t xml:space="preserve">nor DFA’s </w:t>
      </w:r>
      <w:r w:rsidRPr="000A45BB">
        <w:t xml:space="preserve">right to object or question any invoice or matter in relation thereto. Such payment by the Board </w:t>
      </w:r>
      <w:r w:rsidR="00F85133">
        <w:t xml:space="preserve">or DFA </w:t>
      </w:r>
      <w:r w:rsidRPr="000A45BB">
        <w:t>shall neither be construed as acceptance of any part of the work or service provided nor as an approval of any costs invoiced therein. Consulting Actuary’s invoice or payment shall be subject to reduction for amounts included in any invoice or payment theretofore made which are d</w:t>
      </w:r>
      <w:r w:rsidR="00F85133">
        <w:t>etermined by the Board or DFA,</w:t>
      </w:r>
      <w:r w:rsidRPr="000A45BB">
        <w:t xml:space="preserve"> on the basis of audits, not to constitute allowable costs. Any payment shall be reduced for overpayment, or increased for underpayment on subsequent invoices. For any amounts which are or shall become due and payable to the Board an</w:t>
      </w:r>
      <w:r w:rsidR="00F85133">
        <w:t>d/or DFA</w:t>
      </w:r>
      <w:r w:rsidRPr="000A45BB">
        <w:t xml:space="preserve"> by the Consulting Actuary, the Board </w:t>
      </w:r>
      <w:r w:rsidR="00F85133">
        <w:t>and DFA reserve</w:t>
      </w:r>
      <w:r w:rsidRPr="000A45BB">
        <w:t xml:space="preserve"> the right to (1) deduct from amounts which are or shall become due and payable to the Board </w:t>
      </w:r>
      <w:r w:rsidR="00F85133">
        <w:t xml:space="preserve">or DFA </w:t>
      </w:r>
      <w:r w:rsidRPr="000A45BB">
        <w:t xml:space="preserve">under contract between the parties; or (2) request and receive payment directly from the Consulting Actuary within fifteen (15) days of such request, at the Board’s </w:t>
      </w:r>
      <w:r w:rsidR="00F85133">
        <w:t xml:space="preserve">and/or DFA’s </w:t>
      </w:r>
      <w:r w:rsidRPr="000A45BB">
        <w:t>sole discretion.</w:t>
      </w:r>
    </w:p>
    <w:p w14:paraId="287F83D5" w14:textId="77777777" w:rsidR="00932E22" w:rsidRDefault="00932E22" w:rsidP="00932E22">
      <w:pPr>
        <w:pStyle w:val="ListParagraph"/>
      </w:pPr>
    </w:p>
    <w:p w14:paraId="3A3315D5" w14:textId="77777777" w:rsidR="00932E22" w:rsidRDefault="00932E22" w:rsidP="00932E22">
      <w:pPr>
        <w:pStyle w:val="ListParagraph"/>
      </w:pPr>
    </w:p>
    <w:p w14:paraId="54D960D2" w14:textId="77777777" w:rsidR="00932E22" w:rsidRDefault="00932E22" w:rsidP="00932E22">
      <w:pPr>
        <w:pStyle w:val="ListParagraph"/>
      </w:pPr>
    </w:p>
    <w:p w14:paraId="1E150BCF" w14:textId="64A70C21" w:rsidR="00434D36" w:rsidRDefault="00434D36" w:rsidP="006E7A4A">
      <w:pPr>
        <w:pStyle w:val="ListParagraph"/>
        <w:numPr>
          <w:ilvl w:val="0"/>
          <w:numId w:val="17"/>
        </w:numPr>
        <w:jc w:val="both"/>
      </w:pPr>
      <w:r>
        <w:t xml:space="preserve">Compensation to the Consulting Actuary for travel </w:t>
      </w:r>
      <w:r w:rsidR="00F85133" w:rsidRPr="00932E22">
        <w:rPr>
          <w:u w:val="single"/>
        </w:rPr>
        <w:t>must be approved in advance</w:t>
      </w:r>
      <w:r w:rsidR="00F85133">
        <w:t xml:space="preserve"> by DFA, and </w:t>
      </w:r>
      <w:r>
        <w:t>shall be subject to the following criteria:</w:t>
      </w:r>
    </w:p>
    <w:p w14:paraId="2872D161" w14:textId="77777777" w:rsidR="00434D36" w:rsidRDefault="00434D36" w:rsidP="00434D36">
      <w:pPr>
        <w:pStyle w:val="BodyText"/>
        <w:ind w:left="720"/>
      </w:pPr>
    </w:p>
    <w:p w14:paraId="57D72D29" w14:textId="22F75590" w:rsidR="00434D36" w:rsidRDefault="00434D36" w:rsidP="006E7A4A">
      <w:pPr>
        <w:pStyle w:val="BodyText"/>
        <w:numPr>
          <w:ilvl w:val="1"/>
          <w:numId w:val="18"/>
        </w:numPr>
      </w:pPr>
      <w:r>
        <w:t>In order to be compensable, travel expenses must be reasonable and necessary for the fulfillment of the project and contractual obligations;</w:t>
      </w:r>
    </w:p>
    <w:p w14:paraId="74EC5D33" w14:textId="77777777" w:rsidR="00434D36" w:rsidRDefault="00434D36" w:rsidP="006E7A4A">
      <w:pPr>
        <w:pStyle w:val="BodyText"/>
        <w:numPr>
          <w:ilvl w:val="1"/>
          <w:numId w:val="18"/>
        </w:numPr>
      </w:pPr>
      <w:r>
        <w:t>Air travel reimbursement will be limited to “Coach” or “Tourist” class rates, and must be supported by a copy of an original invoice;</w:t>
      </w:r>
    </w:p>
    <w:p w14:paraId="2AC06F88" w14:textId="77777777" w:rsidR="00434D36" w:rsidRDefault="00434D36" w:rsidP="006E7A4A">
      <w:pPr>
        <w:pStyle w:val="BodyText"/>
        <w:numPr>
          <w:ilvl w:val="1"/>
          <w:numId w:val="18"/>
        </w:numPr>
      </w:pPr>
      <w:r>
        <w:t>Meals and lodging expenses will be reimbursed in the amount of actual costs, subject to the maximum per diem as defined in the Federal Register.  A copy of all hotel receipts must be provided.  A copy of meal receipts is not necessary;</w:t>
      </w:r>
    </w:p>
    <w:p w14:paraId="33836D94" w14:textId="77777777" w:rsidR="00434D36" w:rsidRDefault="00434D36" w:rsidP="006E7A4A">
      <w:pPr>
        <w:pStyle w:val="BodyText"/>
        <w:numPr>
          <w:ilvl w:val="1"/>
          <w:numId w:val="18"/>
        </w:numPr>
      </w:pPr>
      <w:r>
        <w:t>Taxi fares, reasonable rental car expenses, and airport parking expenses will be reimbursed in the amount of actual costs, and must be supported by a copy of an original receipt/invoice;</w:t>
      </w:r>
    </w:p>
    <w:p w14:paraId="540F90F2" w14:textId="77777777" w:rsidR="00434D36" w:rsidRDefault="00434D36" w:rsidP="006E7A4A">
      <w:pPr>
        <w:pStyle w:val="BodyText"/>
        <w:numPr>
          <w:ilvl w:val="1"/>
          <w:numId w:val="18"/>
        </w:numPr>
      </w:pPr>
      <w:r>
        <w:t>Personal automobile mileage and related costs are not compensable expenses;</w:t>
      </w:r>
    </w:p>
    <w:p w14:paraId="74386702" w14:textId="08466619" w:rsidR="00434D36" w:rsidRDefault="00434D36" w:rsidP="006E7A4A">
      <w:pPr>
        <w:pStyle w:val="BodyText"/>
        <w:numPr>
          <w:ilvl w:val="1"/>
          <w:numId w:val="18"/>
        </w:numPr>
      </w:pPr>
      <w:r>
        <w:t xml:space="preserve">Time spent in “travel status” is not compensable.  Hourly rates </w:t>
      </w:r>
      <w:r w:rsidRPr="00E66579">
        <w:t>in</w:t>
      </w:r>
      <w:r w:rsidRPr="00E66579">
        <w:rPr>
          <w:b/>
          <w:i/>
        </w:rPr>
        <w:t xml:space="preserve"> </w:t>
      </w:r>
      <w:r w:rsidR="00F85133">
        <w:rPr>
          <w:b/>
          <w:i/>
        </w:rPr>
        <w:t xml:space="preserve">Fee Schedule for </w:t>
      </w:r>
      <w:r w:rsidR="00C71805">
        <w:rPr>
          <w:b/>
          <w:i/>
        </w:rPr>
        <w:t>Actuarial Consulting</w:t>
      </w:r>
      <w:r w:rsidRPr="00EA595B">
        <w:rPr>
          <w:b/>
          <w:i/>
        </w:rPr>
        <w:t xml:space="preserve"> Services</w:t>
      </w:r>
      <w:r>
        <w:t xml:space="preserve"> are to be charged for actual hours worked only and shall not include travel time.</w:t>
      </w:r>
    </w:p>
    <w:p w14:paraId="75BC68B9" w14:textId="2A7B6CE9" w:rsidR="0039499C" w:rsidRDefault="0039499C" w:rsidP="00317CF7">
      <w:r>
        <w:br w:type="page"/>
      </w:r>
    </w:p>
    <w:p w14:paraId="6D53DC37" w14:textId="1B08F4F3" w:rsidR="001628E1" w:rsidRDefault="001628E1" w:rsidP="00317CF7">
      <w:pPr>
        <w:pStyle w:val="BodyText"/>
        <w:jc w:val="center"/>
        <w:rPr>
          <w:b/>
          <w:bCs/>
        </w:rPr>
      </w:pPr>
      <w:r>
        <w:rPr>
          <w:b/>
          <w:bCs/>
        </w:rPr>
        <w:t>FEE SCHEDULE</w:t>
      </w:r>
    </w:p>
    <w:p w14:paraId="2EF8D4D0" w14:textId="4053743E" w:rsidR="001628E1" w:rsidRDefault="00EA3F35" w:rsidP="00317CF7">
      <w:pPr>
        <w:pStyle w:val="BodyText"/>
        <w:jc w:val="center"/>
        <w:rPr>
          <w:b/>
          <w:bCs/>
        </w:rPr>
      </w:pPr>
      <w:proofErr w:type="gramStart"/>
      <w:r>
        <w:rPr>
          <w:b/>
          <w:bCs/>
        </w:rPr>
        <w:t>for</w:t>
      </w:r>
      <w:proofErr w:type="gramEnd"/>
    </w:p>
    <w:p w14:paraId="25E28D2B" w14:textId="77777777" w:rsidR="0039499C" w:rsidRDefault="0039499C" w:rsidP="00317CF7">
      <w:pPr>
        <w:pStyle w:val="BodyText"/>
        <w:jc w:val="center"/>
        <w:rPr>
          <w:b/>
          <w:bCs/>
        </w:rPr>
      </w:pPr>
      <w:r>
        <w:rPr>
          <w:b/>
          <w:bCs/>
        </w:rPr>
        <w:t>ACTUARIAL CONSULTING SERVICES</w:t>
      </w:r>
    </w:p>
    <w:p w14:paraId="7F4E64E9" w14:textId="77777777" w:rsidR="0039499C" w:rsidRDefault="0039499C" w:rsidP="00317CF7">
      <w:pPr>
        <w:pStyle w:val="BodyText"/>
        <w:jc w:val="center"/>
        <w:rPr>
          <w:b/>
          <w:bCs/>
        </w:rPr>
      </w:pPr>
    </w:p>
    <w:p w14:paraId="57F7CDF1" w14:textId="2CECA623" w:rsidR="0039499C" w:rsidRPr="00434D36" w:rsidRDefault="0039499C" w:rsidP="00317CF7">
      <w:pPr>
        <w:pStyle w:val="BodyText"/>
        <w:rPr>
          <w:bCs/>
        </w:rPr>
      </w:pPr>
      <w:r w:rsidRPr="00434D36">
        <w:rPr>
          <w:bCs/>
        </w:rPr>
        <w:t xml:space="preserve">Our </w:t>
      </w:r>
      <w:r w:rsidR="00B27EDB" w:rsidRPr="00434D36">
        <w:rPr>
          <w:bCs/>
        </w:rPr>
        <w:t>firm</w:t>
      </w:r>
      <w:r w:rsidRPr="00434D36">
        <w:rPr>
          <w:bCs/>
        </w:rPr>
        <w:t>’s ho</w:t>
      </w:r>
      <w:r w:rsidR="008D6E95" w:rsidRPr="00434D36">
        <w:rPr>
          <w:bCs/>
        </w:rPr>
        <w:t>urly charges</w:t>
      </w:r>
      <w:r w:rsidRPr="00434D36">
        <w:rPr>
          <w:bCs/>
        </w:rPr>
        <w:t xml:space="preserve"> to provide </w:t>
      </w:r>
      <w:r w:rsidR="008D6E95" w:rsidRPr="00434D36">
        <w:rPr>
          <w:bCs/>
        </w:rPr>
        <w:t>a</w:t>
      </w:r>
      <w:r w:rsidRPr="00434D36">
        <w:t xml:space="preserve">ctuarial </w:t>
      </w:r>
      <w:r w:rsidR="008D6E95" w:rsidRPr="00434D36">
        <w:t>c</w:t>
      </w:r>
      <w:r w:rsidRPr="00434D36">
        <w:t xml:space="preserve">onsulting </w:t>
      </w:r>
      <w:r w:rsidR="00434D36">
        <w:rPr>
          <w:bCs/>
        </w:rPr>
        <w:t xml:space="preserve">services, along with </w:t>
      </w:r>
      <w:r w:rsidR="00434D36" w:rsidRPr="00873454">
        <w:rPr>
          <w:bCs/>
          <w:u w:val="single"/>
        </w:rPr>
        <w:t>maximum</w:t>
      </w:r>
      <w:r w:rsidR="00434D36">
        <w:rPr>
          <w:bCs/>
        </w:rPr>
        <w:t xml:space="preserve"> annual project rates to provide consulting actuary services t</w:t>
      </w:r>
      <w:r w:rsidRPr="00434D36">
        <w:rPr>
          <w:bCs/>
        </w:rPr>
        <w:t xml:space="preserve">o the </w:t>
      </w:r>
      <w:r w:rsidRPr="00434D36">
        <w:t xml:space="preserve">Board of Trustees for the Mississippi State Agencies Self-Insured Workers’ Compensation Trust </w:t>
      </w:r>
      <w:r w:rsidR="001628E1">
        <w:t xml:space="preserve">and DFA </w:t>
      </w:r>
      <w:r w:rsidRPr="00434D36">
        <w:rPr>
          <w:bCs/>
        </w:rPr>
        <w:t>are listed below:</w:t>
      </w:r>
    </w:p>
    <w:p w14:paraId="0A8387A2" w14:textId="357188BE" w:rsidR="0039499C" w:rsidRDefault="0039499C" w:rsidP="00317CF7">
      <w:pPr>
        <w:pStyle w:val="BodyText"/>
        <w:rPr>
          <w:b/>
          <w:bCs/>
        </w:rPr>
      </w:pPr>
    </w:p>
    <w:tbl>
      <w:tblPr>
        <w:tblStyle w:val="TableGrid"/>
        <w:tblW w:w="10075" w:type="dxa"/>
        <w:tblLayout w:type="fixed"/>
        <w:tblLook w:val="04A0" w:firstRow="1" w:lastRow="0" w:firstColumn="1" w:lastColumn="0" w:noHBand="0" w:noVBand="1"/>
      </w:tblPr>
      <w:tblGrid>
        <w:gridCol w:w="2875"/>
        <w:gridCol w:w="1440"/>
        <w:gridCol w:w="1440"/>
        <w:gridCol w:w="1350"/>
        <w:gridCol w:w="1440"/>
        <w:gridCol w:w="1530"/>
      </w:tblGrid>
      <w:tr w:rsidR="00932E22" w:rsidRPr="00210C23" w14:paraId="68EC2A0B" w14:textId="77777777" w:rsidTr="00932E22">
        <w:tc>
          <w:tcPr>
            <w:tcW w:w="2875" w:type="dxa"/>
          </w:tcPr>
          <w:p w14:paraId="6038FE50" w14:textId="6305C60C" w:rsidR="00932E22" w:rsidRPr="00CA00F2" w:rsidRDefault="006E7A4A" w:rsidP="006E7A4A">
            <w:pPr>
              <w:pStyle w:val="NumList1"/>
              <w:numPr>
                <w:ilvl w:val="0"/>
                <w:numId w:val="0"/>
              </w:numPr>
              <w:jc w:val="center"/>
              <w:rPr>
                <w:rFonts w:ascii="Times New Roman" w:hAnsi="Times New Roman" w:cs="Times New Roman"/>
                <w:b/>
              </w:rPr>
            </w:pPr>
            <w:r w:rsidRPr="00CA00F2">
              <w:rPr>
                <w:rFonts w:ascii="Times New Roman" w:hAnsi="Times New Roman" w:cs="Times New Roman"/>
                <w:b/>
              </w:rPr>
              <w:t>Personnel</w:t>
            </w:r>
          </w:p>
        </w:tc>
        <w:tc>
          <w:tcPr>
            <w:tcW w:w="1440" w:type="dxa"/>
          </w:tcPr>
          <w:p w14:paraId="5F33096F" w14:textId="77777777"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1</w:t>
            </w:r>
          </w:p>
          <w:p w14:paraId="47EABCCF" w14:textId="43FDC908" w:rsidR="00932E22" w:rsidRPr="00CA00F2" w:rsidRDefault="00932E22" w:rsidP="00932E22">
            <w:pPr>
              <w:pStyle w:val="NumList1"/>
              <w:numPr>
                <w:ilvl w:val="0"/>
                <w:numId w:val="0"/>
              </w:numPr>
              <w:spacing w:before="120" w:after="0"/>
              <w:jc w:val="center"/>
              <w:rPr>
                <w:rFonts w:ascii="Times New Roman" w:hAnsi="Times New Roman" w:cs="Times New Roman"/>
              </w:rPr>
            </w:pPr>
            <w:r w:rsidRPr="00CA00F2">
              <w:rPr>
                <w:rFonts w:ascii="Times New Roman" w:hAnsi="Times New Roman" w:cs="Times New Roman"/>
              </w:rPr>
              <w:t>(5/10/19 – 6/30/20)</w:t>
            </w:r>
          </w:p>
        </w:tc>
        <w:tc>
          <w:tcPr>
            <w:tcW w:w="1440" w:type="dxa"/>
          </w:tcPr>
          <w:p w14:paraId="3AE4A75F" w14:textId="77777777"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2</w:t>
            </w:r>
          </w:p>
          <w:p w14:paraId="079ED460" w14:textId="70F5B6DC"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(7/1/20 – 6/30/21)</w:t>
            </w:r>
          </w:p>
        </w:tc>
        <w:tc>
          <w:tcPr>
            <w:tcW w:w="1350" w:type="dxa"/>
          </w:tcPr>
          <w:p w14:paraId="2C2CE5FF" w14:textId="77777777"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3</w:t>
            </w:r>
          </w:p>
          <w:p w14:paraId="62318E97" w14:textId="518035B6"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(7/1/21 – 6/30/22</w:t>
            </w:r>
          </w:p>
        </w:tc>
        <w:tc>
          <w:tcPr>
            <w:tcW w:w="1440" w:type="dxa"/>
          </w:tcPr>
          <w:p w14:paraId="1EB616D5" w14:textId="77777777"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4</w:t>
            </w:r>
          </w:p>
          <w:p w14:paraId="6085990D" w14:textId="4A96A326" w:rsidR="00932E22" w:rsidRPr="00CA00F2" w:rsidRDefault="00932E22" w:rsidP="00932E22">
            <w:pPr>
              <w:pStyle w:val="NumList1"/>
              <w:numPr>
                <w:ilvl w:val="0"/>
                <w:numId w:val="0"/>
              </w:numPr>
              <w:spacing w:before="120" w:after="0"/>
              <w:jc w:val="left"/>
              <w:rPr>
                <w:rFonts w:ascii="Times New Roman" w:hAnsi="Times New Roman" w:cs="Times New Roman"/>
                <w:b/>
              </w:rPr>
            </w:pPr>
            <w:r w:rsidRPr="00CA00F2">
              <w:rPr>
                <w:rFonts w:ascii="Times New Roman" w:hAnsi="Times New Roman" w:cs="Times New Roman"/>
              </w:rPr>
              <w:t>(7/1/22 – 6/30/23)</w:t>
            </w:r>
          </w:p>
        </w:tc>
        <w:tc>
          <w:tcPr>
            <w:tcW w:w="1530" w:type="dxa"/>
          </w:tcPr>
          <w:p w14:paraId="156322A4" w14:textId="77777777"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5*</w:t>
            </w:r>
          </w:p>
          <w:p w14:paraId="37D7B29E" w14:textId="1734B4EA" w:rsidR="00932E22" w:rsidRPr="00CA00F2" w:rsidRDefault="00932E22" w:rsidP="00932E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(7/1/23 – 6/30/24)</w:t>
            </w:r>
          </w:p>
        </w:tc>
      </w:tr>
      <w:tr w:rsidR="0039499C" w:rsidRPr="00210C23" w14:paraId="65B14F72" w14:textId="77777777" w:rsidTr="00932E22">
        <w:tc>
          <w:tcPr>
            <w:tcW w:w="2875" w:type="dxa"/>
          </w:tcPr>
          <w:p w14:paraId="4715DDA2" w14:textId="18CEB2F7" w:rsidR="0039499C" w:rsidRPr="00CA00F2" w:rsidRDefault="0039499C" w:rsidP="001B0A63">
            <w:pPr>
              <w:pStyle w:val="NumList1"/>
              <w:numPr>
                <w:ilvl w:val="0"/>
                <w:numId w:val="0"/>
              </w:numPr>
              <w:spacing w:before="120" w:after="120"/>
              <w:rPr>
                <w:rFonts w:ascii="Times New Roman" w:hAnsi="Times New Roman" w:cs="Times New Roman"/>
              </w:rPr>
            </w:pPr>
            <w:r w:rsidRPr="00CA00F2">
              <w:rPr>
                <w:rFonts w:ascii="Times New Roman" w:hAnsi="Times New Roman" w:cs="Times New Roman"/>
              </w:rPr>
              <w:t xml:space="preserve">Senior </w:t>
            </w:r>
            <w:r w:rsidR="001628E1" w:rsidRPr="00CA00F2">
              <w:rPr>
                <w:rFonts w:ascii="Times New Roman" w:hAnsi="Times New Roman" w:cs="Times New Roman"/>
              </w:rPr>
              <w:t xml:space="preserve">Consulting </w:t>
            </w:r>
            <w:r w:rsidRPr="00CA00F2">
              <w:rPr>
                <w:rFonts w:ascii="Times New Roman" w:hAnsi="Times New Roman" w:cs="Times New Roman"/>
              </w:rPr>
              <w:t xml:space="preserve">Actuary </w:t>
            </w:r>
          </w:p>
        </w:tc>
        <w:tc>
          <w:tcPr>
            <w:tcW w:w="1440" w:type="dxa"/>
          </w:tcPr>
          <w:p w14:paraId="2CE47070" w14:textId="77777777" w:rsidR="0039499C" w:rsidRPr="00210C23" w:rsidRDefault="0039499C" w:rsidP="001B0A63">
            <w:pPr>
              <w:pStyle w:val="NumList1"/>
              <w:numPr>
                <w:ilvl w:val="0"/>
                <w:numId w:val="0"/>
              </w:numPr>
              <w:spacing w:before="120" w:after="120"/>
              <w:rPr>
                <w:rFonts w:cs="Times New Roman"/>
              </w:rPr>
            </w:pPr>
          </w:p>
        </w:tc>
        <w:tc>
          <w:tcPr>
            <w:tcW w:w="1440" w:type="dxa"/>
          </w:tcPr>
          <w:p w14:paraId="52BA3155" w14:textId="77777777" w:rsidR="0039499C" w:rsidRPr="00210C23" w:rsidRDefault="0039499C" w:rsidP="001B0A63">
            <w:pPr>
              <w:pStyle w:val="NumList1"/>
              <w:numPr>
                <w:ilvl w:val="0"/>
                <w:numId w:val="0"/>
              </w:numPr>
              <w:spacing w:before="120" w:after="120"/>
              <w:rPr>
                <w:rFonts w:cs="Times New Roman"/>
              </w:rPr>
            </w:pPr>
          </w:p>
        </w:tc>
        <w:tc>
          <w:tcPr>
            <w:tcW w:w="1350" w:type="dxa"/>
          </w:tcPr>
          <w:p w14:paraId="4C037001" w14:textId="77777777" w:rsidR="0039499C" w:rsidRPr="00210C23" w:rsidRDefault="0039499C" w:rsidP="001B0A63">
            <w:pPr>
              <w:pStyle w:val="NumList1"/>
              <w:numPr>
                <w:ilvl w:val="0"/>
                <w:numId w:val="0"/>
              </w:numPr>
              <w:spacing w:before="120" w:after="120"/>
              <w:rPr>
                <w:rFonts w:cs="Times New Roman"/>
              </w:rPr>
            </w:pPr>
          </w:p>
        </w:tc>
        <w:tc>
          <w:tcPr>
            <w:tcW w:w="1440" w:type="dxa"/>
          </w:tcPr>
          <w:p w14:paraId="3AECC64F" w14:textId="77777777" w:rsidR="0039499C" w:rsidRPr="00210C23" w:rsidRDefault="0039499C" w:rsidP="001B0A63">
            <w:pPr>
              <w:pStyle w:val="NumList1"/>
              <w:numPr>
                <w:ilvl w:val="0"/>
                <w:numId w:val="0"/>
              </w:numPr>
              <w:spacing w:before="120" w:after="120"/>
              <w:rPr>
                <w:rFonts w:cs="Times New Roman"/>
              </w:rPr>
            </w:pPr>
          </w:p>
        </w:tc>
        <w:tc>
          <w:tcPr>
            <w:tcW w:w="1530" w:type="dxa"/>
          </w:tcPr>
          <w:p w14:paraId="2880866A" w14:textId="77777777" w:rsidR="0039499C" w:rsidRPr="00210C23" w:rsidRDefault="0039499C" w:rsidP="001B0A63">
            <w:pPr>
              <w:pStyle w:val="NumList1"/>
              <w:numPr>
                <w:ilvl w:val="0"/>
                <w:numId w:val="0"/>
              </w:numPr>
              <w:spacing w:before="120" w:after="120"/>
              <w:rPr>
                <w:rFonts w:cs="Times New Roman"/>
              </w:rPr>
            </w:pPr>
          </w:p>
        </w:tc>
      </w:tr>
      <w:tr w:rsidR="0039499C" w:rsidRPr="00210C23" w14:paraId="1BD3DE51" w14:textId="77777777" w:rsidTr="00932E22">
        <w:tc>
          <w:tcPr>
            <w:tcW w:w="2875" w:type="dxa"/>
          </w:tcPr>
          <w:p w14:paraId="5E41B86E" w14:textId="77777777" w:rsidR="0039499C" w:rsidRPr="00CA00F2" w:rsidRDefault="0039499C" w:rsidP="001B0A63">
            <w:pPr>
              <w:pStyle w:val="NumList1"/>
              <w:numPr>
                <w:ilvl w:val="0"/>
                <w:numId w:val="0"/>
              </w:numPr>
              <w:spacing w:before="120" w:after="120"/>
              <w:rPr>
                <w:rFonts w:ascii="Times New Roman" w:hAnsi="Times New Roman" w:cs="Times New Roman"/>
              </w:rPr>
            </w:pPr>
            <w:r w:rsidRPr="00CA00F2">
              <w:rPr>
                <w:rFonts w:ascii="Times New Roman" w:hAnsi="Times New Roman" w:cs="Times New Roman"/>
              </w:rPr>
              <w:t xml:space="preserve">Associate Actuary  </w:t>
            </w:r>
          </w:p>
        </w:tc>
        <w:tc>
          <w:tcPr>
            <w:tcW w:w="1440" w:type="dxa"/>
          </w:tcPr>
          <w:p w14:paraId="1A4D4302" w14:textId="77777777" w:rsidR="0039499C" w:rsidRPr="00210C23" w:rsidRDefault="0039499C" w:rsidP="001B0A63">
            <w:pPr>
              <w:pStyle w:val="NumList1"/>
              <w:numPr>
                <w:ilvl w:val="0"/>
                <w:numId w:val="0"/>
              </w:numPr>
              <w:spacing w:before="120" w:after="120"/>
              <w:rPr>
                <w:rFonts w:cs="Times New Roman"/>
              </w:rPr>
            </w:pPr>
          </w:p>
        </w:tc>
        <w:tc>
          <w:tcPr>
            <w:tcW w:w="1440" w:type="dxa"/>
          </w:tcPr>
          <w:p w14:paraId="21105E8C" w14:textId="77777777" w:rsidR="0039499C" w:rsidRPr="00210C23" w:rsidRDefault="0039499C" w:rsidP="001B0A63">
            <w:pPr>
              <w:pStyle w:val="NumList1"/>
              <w:numPr>
                <w:ilvl w:val="0"/>
                <w:numId w:val="0"/>
              </w:numPr>
              <w:spacing w:before="120" w:after="120"/>
              <w:rPr>
                <w:rFonts w:cs="Times New Roman"/>
              </w:rPr>
            </w:pPr>
          </w:p>
        </w:tc>
        <w:tc>
          <w:tcPr>
            <w:tcW w:w="1350" w:type="dxa"/>
          </w:tcPr>
          <w:p w14:paraId="0C07EAE4" w14:textId="77777777" w:rsidR="0039499C" w:rsidRPr="00210C23" w:rsidRDefault="0039499C" w:rsidP="001B0A63">
            <w:pPr>
              <w:pStyle w:val="NumList1"/>
              <w:numPr>
                <w:ilvl w:val="0"/>
                <w:numId w:val="0"/>
              </w:numPr>
              <w:spacing w:before="120" w:after="120"/>
              <w:rPr>
                <w:rFonts w:cs="Times New Roman"/>
              </w:rPr>
            </w:pPr>
          </w:p>
        </w:tc>
        <w:tc>
          <w:tcPr>
            <w:tcW w:w="1440" w:type="dxa"/>
          </w:tcPr>
          <w:p w14:paraId="26CAF1FD" w14:textId="77777777" w:rsidR="0039499C" w:rsidRPr="00210C23" w:rsidRDefault="0039499C" w:rsidP="001B0A63">
            <w:pPr>
              <w:pStyle w:val="NumList1"/>
              <w:numPr>
                <w:ilvl w:val="0"/>
                <w:numId w:val="0"/>
              </w:numPr>
              <w:spacing w:before="120" w:after="120"/>
              <w:rPr>
                <w:rFonts w:cs="Times New Roman"/>
              </w:rPr>
            </w:pPr>
          </w:p>
        </w:tc>
        <w:tc>
          <w:tcPr>
            <w:tcW w:w="1530" w:type="dxa"/>
          </w:tcPr>
          <w:p w14:paraId="52B2437C" w14:textId="77777777" w:rsidR="0039499C" w:rsidRPr="00210C23" w:rsidRDefault="0039499C" w:rsidP="001B0A63">
            <w:pPr>
              <w:pStyle w:val="NumList1"/>
              <w:numPr>
                <w:ilvl w:val="0"/>
                <w:numId w:val="0"/>
              </w:numPr>
              <w:spacing w:before="120" w:after="120"/>
              <w:rPr>
                <w:rFonts w:cs="Times New Roman"/>
              </w:rPr>
            </w:pPr>
          </w:p>
        </w:tc>
      </w:tr>
      <w:tr w:rsidR="0039499C" w:rsidRPr="00210C23" w14:paraId="5ED6AB08" w14:textId="77777777" w:rsidTr="00932E22">
        <w:tc>
          <w:tcPr>
            <w:tcW w:w="2875" w:type="dxa"/>
          </w:tcPr>
          <w:p w14:paraId="2A047CFA" w14:textId="77777777" w:rsidR="0039499C" w:rsidRPr="00CA00F2" w:rsidRDefault="0039499C" w:rsidP="001B0A63">
            <w:pPr>
              <w:pStyle w:val="NumList1"/>
              <w:numPr>
                <w:ilvl w:val="0"/>
                <w:numId w:val="0"/>
              </w:numPr>
              <w:spacing w:before="120" w:after="120"/>
              <w:rPr>
                <w:rFonts w:ascii="Times New Roman" w:hAnsi="Times New Roman" w:cs="Times New Roman"/>
              </w:rPr>
            </w:pPr>
            <w:r w:rsidRPr="00CA00F2">
              <w:rPr>
                <w:rFonts w:ascii="Times New Roman" w:hAnsi="Times New Roman" w:cs="Times New Roman"/>
              </w:rPr>
              <w:t xml:space="preserve">Administrative/Clerical </w:t>
            </w:r>
          </w:p>
        </w:tc>
        <w:tc>
          <w:tcPr>
            <w:tcW w:w="1440" w:type="dxa"/>
          </w:tcPr>
          <w:p w14:paraId="093B5B77" w14:textId="77777777" w:rsidR="0039499C" w:rsidRPr="00210C23" w:rsidRDefault="0039499C" w:rsidP="001B0A63">
            <w:pPr>
              <w:pStyle w:val="NumList1"/>
              <w:numPr>
                <w:ilvl w:val="0"/>
                <w:numId w:val="0"/>
              </w:numPr>
              <w:spacing w:before="120" w:after="120"/>
              <w:rPr>
                <w:rFonts w:cs="Times New Roman"/>
              </w:rPr>
            </w:pPr>
          </w:p>
        </w:tc>
        <w:tc>
          <w:tcPr>
            <w:tcW w:w="1440" w:type="dxa"/>
          </w:tcPr>
          <w:p w14:paraId="45309323" w14:textId="77777777" w:rsidR="0039499C" w:rsidRPr="00210C23" w:rsidRDefault="0039499C" w:rsidP="001B0A63">
            <w:pPr>
              <w:pStyle w:val="NumList1"/>
              <w:numPr>
                <w:ilvl w:val="0"/>
                <w:numId w:val="0"/>
              </w:numPr>
              <w:spacing w:before="120" w:after="120"/>
              <w:rPr>
                <w:rFonts w:cs="Times New Roman"/>
              </w:rPr>
            </w:pPr>
          </w:p>
        </w:tc>
        <w:tc>
          <w:tcPr>
            <w:tcW w:w="1350" w:type="dxa"/>
          </w:tcPr>
          <w:p w14:paraId="73897450" w14:textId="77777777" w:rsidR="0039499C" w:rsidRPr="00210C23" w:rsidRDefault="0039499C" w:rsidP="001B0A63">
            <w:pPr>
              <w:pStyle w:val="NumList1"/>
              <w:numPr>
                <w:ilvl w:val="0"/>
                <w:numId w:val="0"/>
              </w:numPr>
              <w:spacing w:before="120" w:after="120"/>
              <w:rPr>
                <w:rFonts w:cs="Times New Roman"/>
              </w:rPr>
            </w:pPr>
          </w:p>
        </w:tc>
        <w:tc>
          <w:tcPr>
            <w:tcW w:w="1440" w:type="dxa"/>
          </w:tcPr>
          <w:p w14:paraId="7B400FA7" w14:textId="77777777" w:rsidR="0039499C" w:rsidRPr="00210C23" w:rsidRDefault="0039499C" w:rsidP="001B0A63">
            <w:pPr>
              <w:pStyle w:val="NumList1"/>
              <w:numPr>
                <w:ilvl w:val="0"/>
                <w:numId w:val="0"/>
              </w:numPr>
              <w:spacing w:before="120" w:after="120"/>
              <w:rPr>
                <w:rFonts w:cs="Times New Roman"/>
              </w:rPr>
            </w:pPr>
          </w:p>
        </w:tc>
        <w:tc>
          <w:tcPr>
            <w:tcW w:w="1530" w:type="dxa"/>
          </w:tcPr>
          <w:p w14:paraId="63A57DC4" w14:textId="77777777" w:rsidR="0039499C" w:rsidRPr="00210C23" w:rsidRDefault="0039499C" w:rsidP="001B0A63">
            <w:pPr>
              <w:pStyle w:val="NumList1"/>
              <w:numPr>
                <w:ilvl w:val="0"/>
                <w:numId w:val="0"/>
              </w:numPr>
              <w:spacing w:before="120" w:after="120"/>
              <w:rPr>
                <w:rFonts w:cs="Times New Roman"/>
              </w:rPr>
            </w:pPr>
          </w:p>
        </w:tc>
      </w:tr>
      <w:tr w:rsidR="0039499C" w:rsidRPr="00210C23" w14:paraId="5C06C373" w14:textId="77777777" w:rsidTr="00932E22">
        <w:tc>
          <w:tcPr>
            <w:tcW w:w="2875" w:type="dxa"/>
          </w:tcPr>
          <w:p w14:paraId="6C6C4225" w14:textId="1D316E87" w:rsidR="0039499C" w:rsidRPr="00CA00F2" w:rsidRDefault="001B0A63" w:rsidP="001B0A63">
            <w:pPr>
              <w:pStyle w:val="NumList1"/>
              <w:numPr>
                <w:ilvl w:val="0"/>
                <w:numId w:val="0"/>
              </w:numPr>
              <w:spacing w:before="120" w:after="120"/>
              <w:rPr>
                <w:rFonts w:ascii="Times New Roman" w:hAnsi="Times New Roman" w:cs="Times New Roman"/>
              </w:rPr>
            </w:pPr>
            <w:r w:rsidRPr="00CA00F2">
              <w:rPr>
                <w:rFonts w:ascii="Times New Roman" w:hAnsi="Times New Roman" w:cs="Times New Roman"/>
              </w:rPr>
              <w:t>Other</w:t>
            </w:r>
            <w:r w:rsidR="0039499C" w:rsidRPr="00CA00F2">
              <w:rPr>
                <w:rFonts w:ascii="Times New Roman" w:hAnsi="Times New Roman" w:cs="Times New Roman"/>
              </w:rPr>
              <w:t>_________________</w:t>
            </w:r>
          </w:p>
        </w:tc>
        <w:tc>
          <w:tcPr>
            <w:tcW w:w="1440" w:type="dxa"/>
          </w:tcPr>
          <w:p w14:paraId="10328965" w14:textId="77777777" w:rsidR="0039499C" w:rsidRPr="00210C23" w:rsidRDefault="0039499C" w:rsidP="001B0A63">
            <w:pPr>
              <w:pStyle w:val="NumList1"/>
              <w:numPr>
                <w:ilvl w:val="0"/>
                <w:numId w:val="0"/>
              </w:numPr>
              <w:spacing w:before="120" w:after="120"/>
              <w:ind w:left="360"/>
              <w:rPr>
                <w:rFonts w:cs="Times New Roman"/>
              </w:rPr>
            </w:pPr>
          </w:p>
        </w:tc>
        <w:tc>
          <w:tcPr>
            <w:tcW w:w="1440" w:type="dxa"/>
          </w:tcPr>
          <w:p w14:paraId="7DCD9638" w14:textId="77777777" w:rsidR="0039499C" w:rsidRPr="00210C23" w:rsidRDefault="0039499C" w:rsidP="001B0A63">
            <w:pPr>
              <w:pStyle w:val="NumList1"/>
              <w:numPr>
                <w:ilvl w:val="0"/>
                <w:numId w:val="0"/>
              </w:numPr>
              <w:spacing w:before="120" w:after="120"/>
              <w:rPr>
                <w:rFonts w:cs="Times New Roman"/>
              </w:rPr>
            </w:pPr>
          </w:p>
        </w:tc>
        <w:tc>
          <w:tcPr>
            <w:tcW w:w="1350" w:type="dxa"/>
          </w:tcPr>
          <w:p w14:paraId="5308DAD4" w14:textId="77777777" w:rsidR="0039499C" w:rsidRPr="00210C23" w:rsidRDefault="0039499C" w:rsidP="001B0A63">
            <w:pPr>
              <w:pStyle w:val="NumList1"/>
              <w:numPr>
                <w:ilvl w:val="0"/>
                <w:numId w:val="0"/>
              </w:numPr>
              <w:spacing w:before="120" w:after="120"/>
              <w:rPr>
                <w:rFonts w:cs="Times New Roman"/>
              </w:rPr>
            </w:pPr>
          </w:p>
        </w:tc>
        <w:tc>
          <w:tcPr>
            <w:tcW w:w="1440" w:type="dxa"/>
          </w:tcPr>
          <w:p w14:paraId="15BFD3DB" w14:textId="77777777" w:rsidR="0039499C" w:rsidRPr="00210C23" w:rsidRDefault="0039499C" w:rsidP="001B0A63">
            <w:pPr>
              <w:pStyle w:val="NumList1"/>
              <w:numPr>
                <w:ilvl w:val="0"/>
                <w:numId w:val="0"/>
              </w:numPr>
              <w:spacing w:before="120" w:after="120"/>
              <w:rPr>
                <w:rFonts w:cs="Times New Roman"/>
              </w:rPr>
            </w:pPr>
          </w:p>
        </w:tc>
        <w:tc>
          <w:tcPr>
            <w:tcW w:w="1530" w:type="dxa"/>
          </w:tcPr>
          <w:p w14:paraId="7B2F2E0E" w14:textId="77777777" w:rsidR="0039499C" w:rsidRPr="00210C23" w:rsidRDefault="0039499C" w:rsidP="001B0A63">
            <w:pPr>
              <w:pStyle w:val="NumList1"/>
              <w:numPr>
                <w:ilvl w:val="0"/>
                <w:numId w:val="0"/>
              </w:numPr>
              <w:spacing w:before="120" w:after="120"/>
              <w:rPr>
                <w:rFonts w:cs="Times New Roman"/>
              </w:rPr>
            </w:pPr>
          </w:p>
        </w:tc>
      </w:tr>
    </w:tbl>
    <w:p w14:paraId="28FA751F" w14:textId="77777777" w:rsidR="0039499C" w:rsidRDefault="0039499C" w:rsidP="00317CF7">
      <w:pPr>
        <w:pStyle w:val="BodyText"/>
        <w:spacing w:before="120"/>
        <w:jc w:val="left"/>
        <w:rPr>
          <w:b/>
          <w:bCs/>
        </w:rPr>
      </w:pPr>
      <w:r w:rsidRPr="00485986">
        <w:rPr>
          <w:b/>
        </w:rPr>
        <w:t>*</w:t>
      </w:r>
      <w:r>
        <w:rPr>
          <w:b/>
        </w:rPr>
        <w:t xml:space="preserve"> </w:t>
      </w:r>
      <w:r w:rsidRPr="00942B1B">
        <w:rPr>
          <w:i/>
        </w:rPr>
        <w:t>Optional Renewal Year</w:t>
      </w:r>
      <w:r>
        <w:rPr>
          <w:b/>
          <w:bCs/>
        </w:rPr>
        <w:tab/>
      </w:r>
      <w:r>
        <w:rPr>
          <w:b/>
          <w:bCs/>
        </w:rPr>
        <w:tab/>
      </w:r>
      <w:r>
        <w:rPr>
          <w:b/>
          <w:bCs/>
        </w:rPr>
        <w:tab/>
      </w:r>
    </w:p>
    <w:p w14:paraId="2B6C01E7" w14:textId="77777777" w:rsidR="0039499C" w:rsidRDefault="0039499C" w:rsidP="00317CF7"/>
    <w:p w14:paraId="2CD0073B" w14:textId="77777777" w:rsidR="008D6E95" w:rsidRDefault="008D6E95" w:rsidP="00317CF7">
      <w:pPr>
        <w:pStyle w:val="BodyText"/>
        <w:rPr>
          <w:b/>
          <w:bCs/>
          <w:u w:val="single"/>
        </w:rPr>
      </w:pPr>
    </w:p>
    <w:p w14:paraId="556DCF1B" w14:textId="6C472569" w:rsidR="00365B26" w:rsidRDefault="00365B26" w:rsidP="001B0A63">
      <w:pPr>
        <w:pStyle w:val="BodyText"/>
        <w:jc w:val="center"/>
        <w:rPr>
          <w:bCs/>
        </w:rPr>
      </w:pPr>
      <w:r>
        <w:rPr>
          <w:b/>
          <w:bCs/>
          <w:u w:val="single"/>
        </w:rPr>
        <w:t>Maximum Fees by Project</w:t>
      </w:r>
    </w:p>
    <w:p w14:paraId="05365560" w14:textId="3F870A71" w:rsidR="001B0A63" w:rsidRPr="00FE751B" w:rsidRDefault="006E7A4A" w:rsidP="006E7A4A">
      <w:pPr>
        <w:pStyle w:val="BodyText"/>
      </w:pPr>
      <w:r>
        <w:rPr>
          <w:bCs/>
        </w:rPr>
        <w:t>Maximum project fees are not to be construed as the annual fees to be paid for each project.  The amount paid each year for the specified annual project will be the lesser of the total fees based on the fee schedule above, or the stated maximum project cost listed below.  Maximum project fees include</w:t>
      </w:r>
      <w:r w:rsidR="001B0A63" w:rsidRPr="00FE751B">
        <w:t xml:space="preserve"> </w:t>
      </w:r>
      <w:r w:rsidR="00932E22">
        <w:t xml:space="preserve">any </w:t>
      </w:r>
      <w:r>
        <w:t xml:space="preserve">and all </w:t>
      </w:r>
      <w:r w:rsidR="00932E22">
        <w:t xml:space="preserve">necessary </w:t>
      </w:r>
      <w:r>
        <w:t>expenses, unless otherwise approved by the Board or DFA.</w:t>
      </w:r>
    </w:p>
    <w:p w14:paraId="70AF29BB" w14:textId="77777777" w:rsidR="00365B26" w:rsidRDefault="00365B26" w:rsidP="00317CF7">
      <w:pPr>
        <w:pStyle w:val="BodyText"/>
        <w:jc w:val="left"/>
        <w:rPr>
          <w:b/>
          <w:bCs/>
        </w:rPr>
      </w:pPr>
    </w:p>
    <w:tbl>
      <w:tblPr>
        <w:tblStyle w:val="TableGrid"/>
        <w:tblW w:w="10075" w:type="dxa"/>
        <w:tblLayout w:type="fixed"/>
        <w:tblLook w:val="04A0" w:firstRow="1" w:lastRow="0" w:firstColumn="1" w:lastColumn="0" w:noHBand="0" w:noVBand="1"/>
      </w:tblPr>
      <w:tblGrid>
        <w:gridCol w:w="2875"/>
        <w:gridCol w:w="1440"/>
        <w:gridCol w:w="1440"/>
        <w:gridCol w:w="1350"/>
        <w:gridCol w:w="1440"/>
        <w:gridCol w:w="1530"/>
      </w:tblGrid>
      <w:tr w:rsidR="00CF77FF" w:rsidRPr="00210C23" w14:paraId="37CA4559" w14:textId="77777777" w:rsidTr="00932E22">
        <w:trPr>
          <w:trHeight w:val="503"/>
        </w:trPr>
        <w:tc>
          <w:tcPr>
            <w:tcW w:w="2875" w:type="dxa"/>
          </w:tcPr>
          <w:p w14:paraId="0AE0CC7E" w14:textId="6F8B9518" w:rsidR="00CF77FF" w:rsidRPr="00CA00F2" w:rsidRDefault="006E7A4A" w:rsidP="006E7A4A">
            <w:pPr>
              <w:pStyle w:val="NumList1"/>
              <w:numPr>
                <w:ilvl w:val="0"/>
                <w:numId w:val="0"/>
              </w:numPr>
              <w:jc w:val="center"/>
              <w:rPr>
                <w:rFonts w:ascii="Times New Roman" w:hAnsi="Times New Roman" w:cs="Times New Roman"/>
                <w:b/>
              </w:rPr>
            </w:pPr>
            <w:r w:rsidRPr="00CA00F2">
              <w:rPr>
                <w:rFonts w:ascii="Times New Roman" w:hAnsi="Times New Roman" w:cs="Times New Roman"/>
                <w:b/>
              </w:rPr>
              <w:t>Project</w:t>
            </w:r>
          </w:p>
        </w:tc>
        <w:tc>
          <w:tcPr>
            <w:tcW w:w="1440" w:type="dxa"/>
          </w:tcPr>
          <w:p w14:paraId="1EB260C2" w14:textId="77777777" w:rsidR="00CF77FF" w:rsidRPr="00CA00F2" w:rsidRDefault="00CF77FF"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1</w:t>
            </w:r>
          </w:p>
          <w:p w14:paraId="5DA994D0" w14:textId="5F86F24C" w:rsidR="00CF77FF" w:rsidRPr="00CA00F2" w:rsidRDefault="00CF77FF"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 xml:space="preserve">(5/10/19 – </w:t>
            </w:r>
            <w:r w:rsidR="00CB6C22" w:rsidRPr="00CA00F2">
              <w:rPr>
                <w:rFonts w:ascii="Times New Roman" w:hAnsi="Times New Roman" w:cs="Times New Roman"/>
              </w:rPr>
              <w:t>6/30/20</w:t>
            </w:r>
            <w:r w:rsidRPr="00CA00F2">
              <w:rPr>
                <w:rFonts w:ascii="Times New Roman" w:hAnsi="Times New Roman" w:cs="Times New Roman"/>
              </w:rPr>
              <w:t>)</w:t>
            </w:r>
          </w:p>
        </w:tc>
        <w:tc>
          <w:tcPr>
            <w:tcW w:w="1440" w:type="dxa"/>
          </w:tcPr>
          <w:p w14:paraId="64393E87" w14:textId="77777777" w:rsidR="00CF77FF" w:rsidRPr="00CA00F2" w:rsidRDefault="00CF77FF"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2</w:t>
            </w:r>
          </w:p>
          <w:p w14:paraId="2E15A580" w14:textId="2380FDA8" w:rsidR="00CF77FF" w:rsidRPr="00CA00F2" w:rsidRDefault="00CF77FF" w:rsidP="00CB6C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w:t>
            </w:r>
            <w:r w:rsidR="00CB6C22" w:rsidRPr="00CA00F2">
              <w:rPr>
                <w:rFonts w:ascii="Times New Roman" w:hAnsi="Times New Roman" w:cs="Times New Roman"/>
              </w:rPr>
              <w:t>7/1/20</w:t>
            </w:r>
            <w:r w:rsidRPr="00CA00F2">
              <w:rPr>
                <w:rFonts w:ascii="Times New Roman" w:hAnsi="Times New Roman" w:cs="Times New Roman"/>
              </w:rPr>
              <w:t xml:space="preserve"> – </w:t>
            </w:r>
            <w:r w:rsidR="00CB6C22" w:rsidRPr="00CA00F2">
              <w:rPr>
                <w:rFonts w:ascii="Times New Roman" w:hAnsi="Times New Roman" w:cs="Times New Roman"/>
              </w:rPr>
              <w:t>6/30/</w:t>
            </w:r>
            <w:r w:rsidRPr="00CA00F2">
              <w:rPr>
                <w:rFonts w:ascii="Times New Roman" w:hAnsi="Times New Roman" w:cs="Times New Roman"/>
              </w:rPr>
              <w:t>21)</w:t>
            </w:r>
          </w:p>
        </w:tc>
        <w:tc>
          <w:tcPr>
            <w:tcW w:w="1350" w:type="dxa"/>
          </w:tcPr>
          <w:p w14:paraId="2BDFD298" w14:textId="77777777" w:rsidR="00CF77FF" w:rsidRPr="00CA00F2" w:rsidRDefault="00CF77FF"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3</w:t>
            </w:r>
          </w:p>
          <w:p w14:paraId="7B4395B5" w14:textId="0A68FE23" w:rsidR="00CF77FF" w:rsidRPr="00CA00F2" w:rsidRDefault="00CB6C22"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(7/1/21 – 6/30/22</w:t>
            </w:r>
          </w:p>
        </w:tc>
        <w:tc>
          <w:tcPr>
            <w:tcW w:w="1440" w:type="dxa"/>
          </w:tcPr>
          <w:p w14:paraId="45E38F57" w14:textId="77777777" w:rsidR="00CF77FF" w:rsidRPr="00CA00F2" w:rsidRDefault="00CF77FF"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4</w:t>
            </w:r>
          </w:p>
          <w:p w14:paraId="428FE9DC" w14:textId="75FD3B1B" w:rsidR="00CF77FF" w:rsidRPr="00CA00F2" w:rsidRDefault="00CB6C22"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(7/1/22 – 6/30/23</w:t>
            </w:r>
            <w:r w:rsidR="00CF77FF" w:rsidRPr="00CA00F2">
              <w:rPr>
                <w:rFonts w:ascii="Times New Roman" w:hAnsi="Times New Roman" w:cs="Times New Roman"/>
              </w:rPr>
              <w:t>)</w:t>
            </w:r>
          </w:p>
        </w:tc>
        <w:tc>
          <w:tcPr>
            <w:tcW w:w="1530" w:type="dxa"/>
          </w:tcPr>
          <w:p w14:paraId="69BAFCD7" w14:textId="77777777" w:rsidR="00CF77FF" w:rsidRPr="00CA00F2" w:rsidRDefault="00CF77FF" w:rsidP="00CF77FF">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b/>
              </w:rPr>
              <w:t>Year 5*</w:t>
            </w:r>
          </w:p>
          <w:p w14:paraId="1EF4FE3E" w14:textId="12C952AC" w:rsidR="00CF77FF" w:rsidRPr="00CA00F2" w:rsidRDefault="00CB6C22" w:rsidP="00CB6C22">
            <w:pPr>
              <w:pStyle w:val="NumList1"/>
              <w:numPr>
                <w:ilvl w:val="0"/>
                <w:numId w:val="0"/>
              </w:numPr>
              <w:spacing w:before="120" w:after="0"/>
              <w:jc w:val="center"/>
              <w:rPr>
                <w:rFonts w:ascii="Times New Roman" w:hAnsi="Times New Roman" w:cs="Times New Roman"/>
                <w:b/>
              </w:rPr>
            </w:pPr>
            <w:r w:rsidRPr="00CA00F2">
              <w:rPr>
                <w:rFonts w:ascii="Times New Roman" w:hAnsi="Times New Roman" w:cs="Times New Roman"/>
              </w:rPr>
              <w:t>(7/1/23 – 6/30/24</w:t>
            </w:r>
            <w:r w:rsidR="00CF77FF" w:rsidRPr="00CA00F2">
              <w:rPr>
                <w:rFonts w:ascii="Times New Roman" w:hAnsi="Times New Roman" w:cs="Times New Roman"/>
              </w:rPr>
              <w:t>)</w:t>
            </w:r>
          </w:p>
        </w:tc>
      </w:tr>
      <w:tr w:rsidR="00365B26" w:rsidRPr="00210C23" w14:paraId="26368A6E" w14:textId="77777777" w:rsidTr="00932E22">
        <w:tc>
          <w:tcPr>
            <w:tcW w:w="2875" w:type="dxa"/>
          </w:tcPr>
          <w:p w14:paraId="65D34358" w14:textId="1DB158CA" w:rsidR="00365B26" w:rsidRPr="00CA00F2" w:rsidRDefault="00365B26" w:rsidP="001B0A63">
            <w:pPr>
              <w:pStyle w:val="NumList1"/>
              <w:numPr>
                <w:ilvl w:val="0"/>
                <w:numId w:val="0"/>
              </w:numPr>
              <w:spacing w:before="0" w:after="0"/>
              <w:rPr>
                <w:rFonts w:ascii="Times New Roman" w:hAnsi="Times New Roman" w:cs="Times New Roman"/>
              </w:rPr>
            </w:pPr>
            <w:r w:rsidRPr="00CA00F2">
              <w:rPr>
                <w:rFonts w:ascii="Times New Roman" w:hAnsi="Times New Roman" w:cs="Times New Roman"/>
              </w:rPr>
              <w:t xml:space="preserve">Actuarial Analysis – Workers’ Compensation </w:t>
            </w:r>
          </w:p>
        </w:tc>
        <w:tc>
          <w:tcPr>
            <w:tcW w:w="1440" w:type="dxa"/>
          </w:tcPr>
          <w:p w14:paraId="74CB62E7"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440" w:type="dxa"/>
          </w:tcPr>
          <w:p w14:paraId="399E3340"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350" w:type="dxa"/>
          </w:tcPr>
          <w:p w14:paraId="0520F77E"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440" w:type="dxa"/>
          </w:tcPr>
          <w:p w14:paraId="5CC35D0F"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530" w:type="dxa"/>
          </w:tcPr>
          <w:p w14:paraId="4DD602CE" w14:textId="77777777" w:rsidR="00365B26" w:rsidRPr="00CA00F2" w:rsidRDefault="00365B26" w:rsidP="001B0A63">
            <w:pPr>
              <w:pStyle w:val="NumList1"/>
              <w:numPr>
                <w:ilvl w:val="0"/>
                <w:numId w:val="0"/>
              </w:numPr>
              <w:spacing w:before="0" w:after="0"/>
              <w:rPr>
                <w:rFonts w:ascii="Times New Roman" w:hAnsi="Times New Roman" w:cs="Times New Roman"/>
              </w:rPr>
            </w:pPr>
          </w:p>
        </w:tc>
      </w:tr>
      <w:tr w:rsidR="00365B26" w:rsidRPr="00210C23" w14:paraId="47B41939" w14:textId="77777777" w:rsidTr="00932E22">
        <w:tc>
          <w:tcPr>
            <w:tcW w:w="2875" w:type="dxa"/>
          </w:tcPr>
          <w:p w14:paraId="15695F87" w14:textId="7735F60E" w:rsidR="00365B26" w:rsidRPr="00CA00F2" w:rsidRDefault="00365B26" w:rsidP="001B0A63">
            <w:pPr>
              <w:pStyle w:val="NumList1"/>
              <w:numPr>
                <w:ilvl w:val="0"/>
                <w:numId w:val="0"/>
              </w:numPr>
              <w:spacing w:before="0" w:after="0"/>
              <w:rPr>
                <w:rFonts w:ascii="Times New Roman" w:hAnsi="Times New Roman" w:cs="Times New Roman"/>
              </w:rPr>
            </w:pPr>
            <w:r w:rsidRPr="00CA00F2">
              <w:rPr>
                <w:rFonts w:ascii="Times New Roman" w:hAnsi="Times New Roman" w:cs="Times New Roman"/>
              </w:rPr>
              <w:t xml:space="preserve">Premium Development – Workers’ Compensation  </w:t>
            </w:r>
          </w:p>
        </w:tc>
        <w:tc>
          <w:tcPr>
            <w:tcW w:w="1440" w:type="dxa"/>
          </w:tcPr>
          <w:p w14:paraId="06826F0D"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440" w:type="dxa"/>
          </w:tcPr>
          <w:p w14:paraId="54EAF141"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350" w:type="dxa"/>
          </w:tcPr>
          <w:p w14:paraId="543638E8"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440" w:type="dxa"/>
          </w:tcPr>
          <w:p w14:paraId="3F320482"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530" w:type="dxa"/>
          </w:tcPr>
          <w:p w14:paraId="7CE3BC19" w14:textId="77777777" w:rsidR="00365B26" w:rsidRPr="00CA00F2" w:rsidRDefault="00365B26" w:rsidP="001B0A63">
            <w:pPr>
              <w:pStyle w:val="NumList1"/>
              <w:numPr>
                <w:ilvl w:val="0"/>
                <w:numId w:val="0"/>
              </w:numPr>
              <w:spacing w:before="0" w:after="0"/>
              <w:rPr>
                <w:rFonts w:ascii="Times New Roman" w:hAnsi="Times New Roman" w:cs="Times New Roman"/>
              </w:rPr>
            </w:pPr>
          </w:p>
        </w:tc>
      </w:tr>
      <w:tr w:rsidR="00365B26" w:rsidRPr="00210C23" w14:paraId="01B5D908" w14:textId="77777777" w:rsidTr="00932E22">
        <w:tc>
          <w:tcPr>
            <w:tcW w:w="2875" w:type="dxa"/>
          </w:tcPr>
          <w:p w14:paraId="63386936" w14:textId="588FBD39" w:rsidR="00365B26" w:rsidRPr="00CA00F2" w:rsidRDefault="00365B26" w:rsidP="001B0A63">
            <w:pPr>
              <w:pStyle w:val="NumList1"/>
              <w:numPr>
                <w:ilvl w:val="0"/>
                <w:numId w:val="0"/>
              </w:numPr>
              <w:spacing w:before="0" w:after="0"/>
              <w:rPr>
                <w:rFonts w:ascii="Times New Roman" w:hAnsi="Times New Roman" w:cs="Times New Roman"/>
              </w:rPr>
            </w:pPr>
            <w:r w:rsidRPr="00CA00F2">
              <w:rPr>
                <w:rFonts w:ascii="Times New Roman" w:hAnsi="Times New Roman" w:cs="Times New Roman"/>
              </w:rPr>
              <w:t>Actuarial Analysis – Unemployment Fund</w:t>
            </w:r>
          </w:p>
        </w:tc>
        <w:tc>
          <w:tcPr>
            <w:tcW w:w="1440" w:type="dxa"/>
          </w:tcPr>
          <w:p w14:paraId="06291DBA"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440" w:type="dxa"/>
          </w:tcPr>
          <w:p w14:paraId="72662BA1"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350" w:type="dxa"/>
          </w:tcPr>
          <w:p w14:paraId="54A4AF21"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440" w:type="dxa"/>
          </w:tcPr>
          <w:p w14:paraId="4CDF77B4" w14:textId="77777777" w:rsidR="00365B26" w:rsidRPr="00CA00F2" w:rsidRDefault="00365B26" w:rsidP="001B0A63">
            <w:pPr>
              <w:pStyle w:val="NumList1"/>
              <w:numPr>
                <w:ilvl w:val="0"/>
                <w:numId w:val="0"/>
              </w:numPr>
              <w:spacing w:before="0" w:after="0"/>
              <w:rPr>
                <w:rFonts w:ascii="Times New Roman" w:hAnsi="Times New Roman" w:cs="Times New Roman"/>
              </w:rPr>
            </w:pPr>
          </w:p>
        </w:tc>
        <w:tc>
          <w:tcPr>
            <w:tcW w:w="1530" w:type="dxa"/>
          </w:tcPr>
          <w:p w14:paraId="340011C1" w14:textId="77777777" w:rsidR="00365B26" w:rsidRPr="00CA00F2" w:rsidRDefault="00365B26" w:rsidP="001B0A63">
            <w:pPr>
              <w:pStyle w:val="NumList1"/>
              <w:numPr>
                <w:ilvl w:val="0"/>
                <w:numId w:val="0"/>
              </w:numPr>
              <w:spacing w:before="0" w:after="0"/>
              <w:rPr>
                <w:rFonts w:ascii="Times New Roman" w:hAnsi="Times New Roman" w:cs="Times New Roman"/>
              </w:rPr>
            </w:pPr>
          </w:p>
        </w:tc>
      </w:tr>
    </w:tbl>
    <w:p w14:paraId="6991B403" w14:textId="30529058" w:rsidR="0039499C" w:rsidRDefault="001B0A63" w:rsidP="001B0A63">
      <w:pPr>
        <w:jc w:val="both"/>
        <w:rPr>
          <w:i/>
        </w:rPr>
      </w:pPr>
      <w:r>
        <w:rPr>
          <w:i/>
        </w:rPr>
        <w:t>*</w:t>
      </w:r>
      <w:r w:rsidR="00365B26" w:rsidRPr="00942B1B">
        <w:rPr>
          <w:i/>
        </w:rPr>
        <w:t>Optional Renewal Year</w:t>
      </w:r>
    </w:p>
    <w:p w14:paraId="3912DC6D" w14:textId="77777777" w:rsidR="008D6E95" w:rsidRDefault="008D6E95" w:rsidP="00317CF7">
      <w:pPr>
        <w:jc w:val="both"/>
      </w:pPr>
    </w:p>
    <w:p w14:paraId="15B3C0AB" w14:textId="0861DDEE" w:rsidR="006E7A4A" w:rsidRDefault="0039499C" w:rsidP="00317CF7">
      <w:pPr>
        <w:jc w:val="both"/>
      </w:pPr>
      <w:r>
        <w:t>By submission of this proposal, w</w:t>
      </w:r>
      <w:r w:rsidRPr="004107C2">
        <w:t xml:space="preserve">e hereby certify that the fees submitted in response to the RFP have been arrived at independently and without, for the purpose of restricting competition, any consultation, communication, or agreement with any other proposer or competitor relating to those fees, the intention to submit a proposal, or the methods or factors used to calculate the fees proposed.  </w:t>
      </w:r>
      <w:r>
        <w:t>By submission of this proposal, w</w:t>
      </w:r>
      <w:r w:rsidRPr="004107C2">
        <w:t>e hereby certify that we have not retained any person or agency on a percentage, commission, or other contingent arrangement to secure this contract.</w:t>
      </w:r>
      <w:r w:rsidR="006E7A4A">
        <w:t xml:space="preserve"> </w:t>
      </w:r>
      <w:r w:rsidR="006E7A4A">
        <w:br w:type="page"/>
      </w:r>
    </w:p>
    <w:p w14:paraId="495E1049" w14:textId="3083834A" w:rsidR="00E96CED" w:rsidRDefault="00E96CED" w:rsidP="00317CF7">
      <w:pPr>
        <w:pStyle w:val="Heading1"/>
        <w:rPr>
          <w:sz w:val="24"/>
        </w:rPr>
      </w:pPr>
      <w:bookmarkStart w:id="177" w:name="_Toc3360034"/>
      <w:r>
        <w:rPr>
          <w:sz w:val="24"/>
        </w:rPr>
        <w:t xml:space="preserve">Section </w:t>
      </w:r>
      <w:r w:rsidR="0039499C">
        <w:rPr>
          <w:sz w:val="24"/>
        </w:rPr>
        <w:t xml:space="preserve">8. </w:t>
      </w:r>
      <w:r>
        <w:rPr>
          <w:sz w:val="24"/>
        </w:rPr>
        <w:t>STATEMENT OF COMPLIANCE</w:t>
      </w:r>
      <w:bookmarkEnd w:id="177"/>
      <w:r>
        <w:rPr>
          <w:sz w:val="24"/>
        </w:rPr>
        <w:t xml:space="preserve"> </w:t>
      </w:r>
    </w:p>
    <w:p w14:paraId="38A3A5C0" w14:textId="77777777" w:rsidR="00E96CED" w:rsidRPr="00E96CED" w:rsidRDefault="00E96CED" w:rsidP="00317CF7"/>
    <w:p w14:paraId="07B18A7E" w14:textId="4F3930C4" w:rsidR="00E96CED" w:rsidRDefault="00E96CED" w:rsidP="00317CF7">
      <w:pPr>
        <w:pStyle w:val="BodyText"/>
        <w:rPr>
          <w:b/>
          <w:bCs/>
        </w:rPr>
      </w:pPr>
      <w:r>
        <w:t xml:space="preserve">This section contains a copy of the Statement of Compliance and Draft Contract for </w:t>
      </w:r>
      <w:r w:rsidR="00CA137E">
        <w:t xml:space="preserve">Actuarial Consulting </w:t>
      </w:r>
      <w:r w:rsidR="006C23E5">
        <w:t>S</w:t>
      </w:r>
      <w:r>
        <w:t>ervices.  You must submit a signed Statement of Compliance with your proposal.  If you object to any of the contract conditions or any requirements listed in this RFP, please note and explain your objection on the Statement of Compliance.</w:t>
      </w:r>
    </w:p>
    <w:p w14:paraId="411ABE4B" w14:textId="77777777" w:rsidR="00E96CED" w:rsidRPr="00E96CED" w:rsidRDefault="00E96CED" w:rsidP="00317CF7"/>
    <w:p w14:paraId="7EE9601B" w14:textId="77777777" w:rsidR="00DA7993" w:rsidRPr="004107C2" w:rsidRDefault="00DA7993" w:rsidP="00317CF7"/>
    <w:p w14:paraId="5A18EC4F" w14:textId="77777777" w:rsidR="00DA7993" w:rsidRPr="004107C2" w:rsidRDefault="00DA7993" w:rsidP="00317CF7"/>
    <w:p w14:paraId="092E8053" w14:textId="77777777" w:rsidR="00DA7993" w:rsidRPr="004107C2" w:rsidRDefault="00DA7993" w:rsidP="00317CF7"/>
    <w:p w14:paraId="57FD99A9" w14:textId="77777777" w:rsidR="00DA7993" w:rsidRPr="004107C2" w:rsidRDefault="00DA7993" w:rsidP="00317CF7"/>
    <w:p w14:paraId="36FCDA5D" w14:textId="77777777" w:rsidR="00DA7993" w:rsidRPr="004107C2" w:rsidRDefault="00DA7993" w:rsidP="00317CF7"/>
    <w:p w14:paraId="1D51DFD4" w14:textId="77777777" w:rsidR="00DA7993" w:rsidRPr="004107C2" w:rsidRDefault="00DA7993" w:rsidP="00317CF7"/>
    <w:p w14:paraId="69048AC6" w14:textId="77777777" w:rsidR="00DA7993" w:rsidRPr="004107C2" w:rsidRDefault="00DA7993" w:rsidP="00317CF7"/>
    <w:p w14:paraId="6E4CC80F" w14:textId="77777777" w:rsidR="00DA7993" w:rsidRPr="004107C2" w:rsidRDefault="00DA7993" w:rsidP="00317CF7"/>
    <w:p w14:paraId="12A3EA80" w14:textId="77777777" w:rsidR="00DA7993" w:rsidRPr="004107C2" w:rsidRDefault="00DA7993" w:rsidP="00317CF7"/>
    <w:p w14:paraId="3567FE80" w14:textId="77777777" w:rsidR="00DA7993" w:rsidRPr="004107C2" w:rsidRDefault="00DA7993" w:rsidP="00317CF7"/>
    <w:p w14:paraId="719B51B5" w14:textId="77777777" w:rsidR="00DA7993" w:rsidRPr="004107C2" w:rsidRDefault="00DA7993" w:rsidP="00317CF7"/>
    <w:p w14:paraId="6E9A8B75" w14:textId="77777777" w:rsidR="00DA7993" w:rsidRPr="004107C2" w:rsidRDefault="00DA7993" w:rsidP="00317CF7"/>
    <w:p w14:paraId="39E4E757" w14:textId="77777777" w:rsidR="00DA7993" w:rsidRPr="004107C2" w:rsidRDefault="00DA7993" w:rsidP="00317CF7"/>
    <w:p w14:paraId="1D8BB45F" w14:textId="77777777" w:rsidR="00DA7993" w:rsidRPr="004107C2" w:rsidRDefault="00DA7993" w:rsidP="00317CF7"/>
    <w:p w14:paraId="13936A18" w14:textId="77777777" w:rsidR="00DA7993" w:rsidRPr="004107C2" w:rsidRDefault="00DA7993" w:rsidP="00317CF7"/>
    <w:p w14:paraId="1959DC6F" w14:textId="77777777" w:rsidR="00DA7993" w:rsidRPr="004107C2" w:rsidRDefault="00DA7993" w:rsidP="00317CF7"/>
    <w:p w14:paraId="276A4D44" w14:textId="77777777" w:rsidR="00DA7993" w:rsidRPr="004107C2" w:rsidRDefault="00DA7993" w:rsidP="00317CF7"/>
    <w:p w14:paraId="3422F35C" w14:textId="77777777" w:rsidR="00DA7993" w:rsidRPr="004107C2" w:rsidRDefault="00DA7993" w:rsidP="00317CF7"/>
    <w:p w14:paraId="3BDED91A" w14:textId="77777777" w:rsidR="00DA7993" w:rsidRDefault="00DA7993" w:rsidP="00317CF7">
      <w:r>
        <w:br w:type="page"/>
      </w:r>
    </w:p>
    <w:p w14:paraId="5CCE3984" w14:textId="3CF0D3E5" w:rsidR="00DA7993" w:rsidRDefault="00DA7993" w:rsidP="00317CF7">
      <w:pPr>
        <w:pStyle w:val="Title"/>
      </w:pPr>
      <w:r w:rsidRPr="004107C2">
        <w:t>Statement of Compliance</w:t>
      </w:r>
    </w:p>
    <w:p w14:paraId="7DFDD327" w14:textId="77777777" w:rsidR="00DA7993" w:rsidRPr="004107C2" w:rsidRDefault="00DA7993" w:rsidP="00317CF7">
      <w:pPr>
        <w:pStyle w:val="Title"/>
      </w:pPr>
    </w:p>
    <w:p w14:paraId="6E816879" w14:textId="113B309D" w:rsidR="00DA7993" w:rsidRPr="004107C2" w:rsidRDefault="00DA7993" w:rsidP="00317CF7">
      <w:pPr>
        <w:jc w:val="both"/>
      </w:pPr>
      <w:r w:rsidRPr="004107C2">
        <w:t xml:space="preserve">We agree to adhere to all conditions and requirements as set forth in the </w:t>
      </w:r>
      <w:r w:rsidR="00F51D79" w:rsidRPr="00877AE7">
        <w:rPr>
          <w:i/>
        </w:rPr>
        <w:t>Mississippi State Agencies Self-Insured Workers’ Compensation Trust</w:t>
      </w:r>
      <w:r w:rsidRPr="00877AE7">
        <w:rPr>
          <w:i/>
        </w:rPr>
        <w:t xml:space="preserve">’s Request for Proposal for </w:t>
      </w:r>
      <w:r w:rsidR="00CA137E" w:rsidRPr="00877AE7">
        <w:rPr>
          <w:i/>
        </w:rPr>
        <w:t xml:space="preserve">Actuarial Consulting </w:t>
      </w:r>
      <w:r w:rsidR="006960B9" w:rsidRPr="00877AE7">
        <w:rPr>
          <w:i/>
        </w:rPr>
        <w:t>Services</w:t>
      </w:r>
      <w:r w:rsidRPr="004107C2">
        <w:t xml:space="preserve">, </w:t>
      </w:r>
      <w:r w:rsidR="00403784" w:rsidRPr="00877AE7">
        <w:t>March 13, 2019</w:t>
      </w:r>
      <w:r w:rsidRPr="00942B1B">
        <w:t>,</w:t>
      </w:r>
      <w:r w:rsidRPr="004107C2">
        <w:t xml:space="preserve"> including the conditions contained in the draft contract included as </w:t>
      </w:r>
      <w:r w:rsidR="00F51D79">
        <w:rPr>
          <w:i/>
        </w:rPr>
        <w:t xml:space="preserve">Appendix A </w:t>
      </w:r>
      <w:r w:rsidRPr="002F406F">
        <w:rPr>
          <w:i/>
        </w:rPr>
        <w:t xml:space="preserve">– </w:t>
      </w:r>
      <w:r w:rsidR="00E35BE2" w:rsidRPr="00CA137E">
        <w:rPr>
          <w:i/>
        </w:rPr>
        <w:t xml:space="preserve">Draft </w:t>
      </w:r>
      <w:r w:rsidR="00CA137E" w:rsidRPr="00CA137E">
        <w:rPr>
          <w:i/>
        </w:rPr>
        <w:t>Actuarial Consulting</w:t>
      </w:r>
      <w:r w:rsidR="00CA137E">
        <w:t xml:space="preserve"> </w:t>
      </w:r>
      <w:r w:rsidRPr="004107C2">
        <w:rPr>
          <w:i/>
        </w:rPr>
        <w:t>Services Contract</w:t>
      </w:r>
      <w:r w:rsidRPr="004107C2">
        <w:t>, except as listed below:</w:t>
      </w:r>
      <w:r w:rsidRPr="004107C2">
        <w:cr/>
      </w:r>
    </w:p>
    <w:p w14:paraId="7591DCE5" w14:textId="77777777" w:rsidR="00DA7993" w:rsidRPr="004107C2" w:rsidRDefault="00DA7993" w:rsidP="00317CF7">
      <w:pPr>
        <w:jc w:val="both"/>
      </w:pPr>
    </w:p>
    <w:p w14:paraId="77D42F9B" w14:textId="77777777" w:rsidR="00DA7993" w:rsidRPr="004107C2" w:rsidRDefault="00DA7993" w:rsidP="00317CF7">
      <w:pPr>
        <w:jc w:val="both"/>
      </w:pPr>
    </w:p>
    <w:p w14:paraId="2233353C" w14:textId="77777777" w:rsidR="00DA7993" w:rsidRPr="004107C2" w:rsidRDefault="00DA7993" w:rsidP="00317CF7">
      <w:pPr>
        <w:jc w:val="both"/>
      </w:pPr>
    </w:p>
    <w:p w14:paraId="218E163E" w14:textId="77777777" w:rsidR="00DA7993" w:rsidRPr="004107C2" w:rsidRDefault="00DA7993" w:rsidP="00317CF7">
      <w:pPr>
        <w:jc w:val="both"/>
      </w:pPr>
    </w:p>
    <w:p w14:paraId="62F7FB06" w14:textId="77777777" w:rsidR="00DA7993" w:rsidRDefault="00DA7993" w:rsidP="00317CF7">
      <w:pPr>
        <w:jc w:val="both"/>
      </w:pPr>
    </w:p>
    <w:p w14:paraId="5E65FF5A" w14:textId="77777777" w:rsidR="00DA7993" w:rsidRDefault="00DA7993" w:rsidP="00317CF7">
      <w:pPr>
        <w:jc w:val="both"/>
      </w:pPr>
    </w:p>
    <w:p w14:paraId="0A02084C" w14:textId="257ACE33" w:rsidR="00DA7993" w:rsidRDefault="00DA7993" w:rsidP="00317CF7">
      <w:pPr>
        <w:jc w:val="both"/>
      </w:pPr>
    </w:p>
    <w:p w14:paraId="73454AEC" w14:textId="5BC3C8D5" w:rsidR="00DA7993" w:rsidRDefault="00DA7993" w:rsidP="00317CF7">
      <w:pPr>
        <w:jc w:val="both"/>
      </w:pPr>
    </w:p>
    <w:p w14:paraId="00FC8101" w14:textId="769335F2" w:rsidR="00DA7993" w:rsidRDefault="00DA7993" w:rsidP="00317CF7">
      <w:pPr>
        <w:jc w:val="both"/>
      </w:pPr>
    </w:p>
    <w:p w14:paraId="0889868B" w14:textId="63D7B4F1" w:rsidR="00DA7993" w:rsidRDefault="00DA7993" w:rsidP="00317CF7">
      <w:pPr>
        <w:jc w:val="both"/>
      </w:pPr>
    </w:p>
    <w:p w14:paraId="65457BD5" w14:textId="77777777" w:rsidR="00DA7993" w:rsidRPr="004107C2" w:rsidRDefault="00DA7993" w:rsidP="00317CF7">
      <w:pPr>
        <w:jc w:val="both"/>
      </w:pPr>
    </w:p>
    <w:p w14:paraId="0B0514F8" w14:textId="77777777" w:rsidR="00DA7993" w:rsidRPr="004107C2" w:rsidRDefault="00DA7993" w:rsidP="00317CF7">
      <w:pPr>
        <w:jc w:val="both"/>
      </w:pPr>
    </w:p>
    <w:p w14:paraId="5D021AE6" w14:textId="378F08A6" w:rsidR="00DA7993" w:rsidRDefault="00DA7993" w:rsidP="00317CF7">
      <w:pPr>
        <w:tabs>
          <w:tab w:val="left" w:pos="5250"/>
        </w:tabs>
        <w:jc w:val="both"/>
      </w:pPr>
    </w:p>
    <w:p w14:paraId="054BA1B3" w14:textId="2D78C53B" w:rsidR="00DA7993" w:rsidRDefault="00DA7993" w:rsidP="00317CF7">
      <w:pPr>
        <w:tabs>
          <w:tab w:val="left" w:pos="5250"/>
        </w:tabs>
        <w:jc w:val="both"/>
      </w:pPr>
    </w:p>
    <w:p w14:paraId="0D333E88" w14:textId="77777777" w:rsidR="00DA7993" w:rsidRDefault="00DA7993" w:rsidP="00317CF7">
      <w:pPr>
        <w:tabs>
          <w:tab w:val="left" w:pos="5250"/>
        </w:tabs>
        <w:jc w:val="both"/>
      </w:pPr>
    </w:p>
    <w:p w14:paraId="26C4B18E" w14:textId="77777777" w:rsidR="00877AE7" w:rsidRDefault="00877AE7" w:rsidP="00317CF7">
      <w:pPr>
        <w:tabs>
          <w:tab w:val="left" w:pos="5250"/>
        </w:tabs>
        <w:jc w:val="both"/>
      </w:pPr>
    </w:p>
    <w:p w14:paraId="62DC691A" w14:textId="77777777" w:rsidR="00877AE7" w:rsidRDefault="00877AE7" w:rsidP="00317CF7">
      <w:pPr>
        <w:tabs>
          <w:tab w:val="left" w:pos="5250"/>
        </w:tabs>
        <w:jc w:val="both"/>
      </w:pPr>
    </w:p>
    <w:p w14:paraId="3CB90674" w14:textId="77777777" w:rsidR="00877AE7" w:rsidRDefault="00877AE7" w:rsidP="00317CF7">
      <w:pPr>
        <w:tabs>
          <w:tab w:val="left" w:pos="5250"/>
        </w:tabs>
        <w:jc w:val="both"/>
      </w:pPr>
    </w:p>
    <w:p w14:paraId="21395B39" w14:textId="77777777" w:rsidR="00877AE7" w:rsidRDefault="00877AE7" w:rsidP="00317CF7">
      <w:pPr>
        <w:tabs>
          <w:tab w:val="left" w:pos="5250"/>
        </w:tabs>
        <w:jc w:val="both"/>
      </w:pPr>
    </w:p>
    <w:p w14:paraId="306D4D55" w14:textId="77777777" w:rsidR="00877AE7" w:rsidRDefault="00877AE7" w:rsidP="00317CF7">
      <w:pPr>
        <w:tabs>
          <w:tab w:val="left" w:pos="5250"/>
        </w:tabs>
        <w:jc w:val="both"/>
      </w:pPr>
    </w:p>
    <w:p w14:paraId="6C3C957C" w14:textId="77777777" w:rsidR="00877AE7" w:rsidRDefault="00877AE7" w:rsidP="00317CF7">
      <w:pPr>
        <w:tabs>
          <w:tab w:val="left" w:pos="5250"/>
        </w:tabs>
        <w:jc w:val="both"/>
      </w:pPr>
    </w:p>
    <w:p w14:paraId="6B3FAD8E" w14:textId="77777777" w:rsidR="00877AE7" w:rsidRDefault="00877AE7" w:rsidP="00317CF7">
      <w:pPr>
        <w:tabs>
          <w:tab w:val="left" w:pos="5250"/>
        </w:tabs>
        <w:jc w:val="both"/>
      </w:pPr>
    </w:p>
    <w:p w14:paraId="04F21601" w14:textId="77777777" w:rsidR="00877AE7" w:rsidRDefault="00877AE7" w:rsidP="00317CF7">
      <w:pPr>
        <w:tabs>
          <w:tab w:val="left" w:pos="5250"/>
        </w:tabs>
        <w:jc w:val="both"/>
      </w:pPr>
    </w:p>
    <w:p w14:paraId="5642C9C0" w14:textId="77777777" w:rsidR="00877AE7" w:rsidRDefault="00877AE7" w:rsidP="00317CF7">
      <w:pPr>
        <w:tabs>
          <w:tab w:val="left" w:pos="5250"/>
        </w:tabs>
        <w:jc w:val="both"/>
      </w:pPr>
    </w:p>
    <w:p w14:paraId="5B42BD17" w14:textId="77777777" w:rsidR="00877AE7" w:rsidRDefault="00877AE7" w:rsidP="00317CF7">
      <w:pPr>
        <w:tabs>
          <w:tab w:val="left" w:pos="5250"/>
        </w:tabs>
        <w:jc w:val="both"/>
      </w:pPr>
    </w:p>
    <w:p w14:paraId="2A5CFC3D" w14:textId="77777777" w:rsidR="00877AE7" w:rsidRDefault="00877AE7" w:rsidP="00317CF7">
      <w:pPr>
        <w:tabs>
          <w:tab w:val="left" w:pos="5250"/>
        </w:tabs>
        <w:jc w:val="both"/>
      </w:pPr>
    </w:p>
    <w:p w14:paraId="4C4584AE" w14:textId="77777777" w:rsidR="00877AE7" w:rsidRDefault="00877AE7" w:rsidP="00317CF7">
      <w:pPr>
        <w:tabs>
          <w:tab w:val="left" w:pos="5250"/>
        </w:tabs>
        <w:jc w:val="both"/>
      </w:pPr>
    </w:p>
    <w:p w14:paraId="21FFDCDB" w14:textId="77777777" w:rsidR="00877AE7" w:rsidRDefault="00877AE7" w:rsidP="00317CF7">
      <w:pPr>
        <w:tabs>
          <w:tab w:val="left" w:pos="5250"/>
        </w:tabs>
        <w:jc w:val="both"/>
      </w:pPr>
    </w:p>
    <w:p w14:paraId="6FC888A2" w14:textId="77777777" w:rsidR="00877AE7" w:rsidRDefault="00877AE7" w:rsidP="00317CF7">
      <w:pPr>
        <w:tabs>
          <w:tab w:val="left" w:pos="5250"/>
        </w:tabs>
        <w:jc w:val="both"/>
      </w:pPr>
    </w:p>
    <w:p w14:paraId="7B2EAF33" w14:textId="77777777" w:rsidR="00877AE7" w:rsidRDefault="00877AE7" w:rsidP="00317CF7">
      <w:pPr>
        <w:tabs>
          <w:tab w:val="left" w:pos="5250"/>
        </w:tabs>
        <w:jc w:val="both"/>
      </w:pPr>
    </w:p>
    <w:p w14:paraId="34CEDB39" w14:textId="77777777" w:rsidR="00DA7993" w:rsidRPr="004107C2" w:rsidRDefault="00DA7993" w:rsidP="00317CF7">
      <w:pPr>
        <w:tabs>
          <w:tab w:val="left" w:pos="5250"/>
        </w:tabs>
        <w:jc w:val="both"/>
      </w:pPr>
      <w:r>
        <w:tab/>
      </w:r>
    </w:p>
    <w:p w14:paraId="7EBCE23C" w14:textId="77777777" w:rsidR="00DA7993" w:rsidRPr="004107C2" w:rsidRDefault="00DA7993" w:rsidP="00317CF7">
      <w:pPr>
        <w:jc w:val="both"/>
      </w:pPr>
    </w:p>
    <w:p w14:paraId="40ADDE5E" w14:textId="675F1B43" w:rsidR="00DA7993" w:rsidRPr="004107C2" w:rsidRDefault="00DA7993" w:rsidP="00317CF7">
      <w:pPr>
        <w:jc w:val="both"/>
      </w:pPr>
      <w:r w:rsidRPr="004107C2">
        <w:t>An original signature is required below.</w:t>
      </w:r>
    </w:p>
    <w:p w14:paraId="69388BA5" w14:textId="77777777" w:rsidR="00DA7993" w:rsidRDefault="00DA7993" w:rsidP="00317CF7">
      <w:pPr>
        <w:rPr>
          <w:sz w:val="16"/>
          <w:szCs w:val="16"/>
        </w:rPr>
      </w:pPr>
    </w:p>
    <w:p w14:paraId="73CF230A" w14:textId="77777777" w:rsidR="0085080C" w:rsidRPr="004107C2" w:rsidRDefault="0085080C" w:rsidP="00317CF7">
      <w:pPr>
        <w:rPr>
          <w:sz w:val="16"/>
          <w:szCs w:val="16"/>
        </w:rPr>
      </w:pPr>
    </w:p>
    <w:p w14:paraId="39522E6E" w14:textId="77777777" w:rsidR="00DA7993" w:rsidRPr="004107C2" w:rsidRDefault="00DA7993" w:rsidP="00317CF7">
      <w:pPr>
        <w:tabs>
          <w:tab w:val="right" w:leader="underscore" w:pos="4320"/>
          <w:tab w:val="left" w:pos="5040"/>
          <w:tab w:val="right" w:leader="underscore" w:pos="9360"/>
        </w:tabs>
      </w:pPr>
      <w:r w:rsidRPr="004107C2">
        <w:tab/>
      </w:r>
      <w:r w:rsidRPr="004107C2">
        <w:tab/>
      </w:r>
      <w:r w:rsidRPr="004107C2">
        <w:tab/>
      </w:r>
    </w:p>
    <w:p w14:paraId="2CAD07FB" w14:textId="77777777" w:rsidR="00DA7993" w:rsidRPr="004107C2" w:rsidRDefault="00DA7993" w:rsidP="00317CF7">
      <w:pPr>
        <w:tabs>
          <w:tab w:val="left" w:pos="5040"/>
          <w:tab w:val="right" w:leader="underscore" w:pos="9360"/>
        </w:tabs>
      </w:pPr>
      <w:r w:rsidRPr="004107C2">
        <w:t xml:space="preserve"> Name</w:t>
      </w:r>
      <w:r w:rsidRPr="004107C2">
        <w:tab/>
        <w:t xml:space="preserve"> Date</w:t>
      </w:r>
    </w:p>
    <w:p w14:paraId="0517F49D" w14:textId="6B43FCD1" w:rsidR="00DA7993" w:rsidRDefault="00DA7993" w:rsidP="00317CF7">
      <w:pPr>
        <w:tabs>
          <w:tab w:val="right" w:leader="underscore" w:pos="4320"/>
          <w:tab w:val="left" w:pos="5040"/>
          <w:tab w:val="right" w:leader="underscore" w:pos="9360"/>
        </w:tabs>
        <w:rPr>
          <w:sz w:val="16"/>
          <w:szCs w:val="16"/>
        </w:rPr>
      </w:pPr>
    </w:p>
    <w:p w14:paraId="7ABBD8AF" w14:textId="77777777" w:rsidR="00DA7993" w:rsidRPr="004107C2" w:rsidRDefault="00DA7993" w:rsidP="00317CF7">
      <w:pPr>
        <w:tabs>
          <w:tab w:val="right" w:leader="underscore" w:pos="4320"/>
          <w:tab w:val="left" w:pos="5040"/>
          <w:tab w:val="right" w:leader="underscore" w:pos="9360"/>
        </w:tabs>
      </w:pPr>
      <w:r w:rsidRPr="004107C2">
        <w:tab/>
      </w:r>
      <w:r w:rsidRPr="004107C2">
        <w:tab/>
      </w:r>
      <w:r w:rsidRPr="004107C2">
        <w:tab/>
      </w:r>
    </w:p>
    <w:p w14:paraId="1374B6E0" w14:textId="288134F9" w:rsidR="00DA7993" w:rsidRPr="004107C2" w:rsidRDefault="00DA7993" w:rsidP="00317CF7">
      <w:pPr>
        <w:tabs>
          <w:tab w:val="left" w:pos="5040"/>
          <w:tab w:val="right" w:leader="underscore" w:pos="9360"/>
        </w:tabs>
      </w:pPr>
      <w:r>
        <w:t>Title</w:t>
      </w:r>
      <w:r w:rsidRPr="004107C2">
        <w:tab/>
        <w:t xml:space="preserve"> </w:t>
      </w:r>
      <w:r w:rsidR="00DE6707">
        <w:t>Firm</w:t>
      </w:r>
    </w:p>
    <w:p w14:paraId="2A46C900" w14:textId="77777777" w:rsidR="00DA7993" w:rsidRPr="004107C2" w:rsidRDefault="00DA7993" w:rsidP="00317CF7">
      <w:pPr>
        <w:tabs>
          <w:tab w:val="right" w:leader="underscore" w:pos="4320"/>
          <w:tab w:val="left" w:pos="5040"/>
          <w:tab w:val="right" w:leader="underscore" w:pos="9360"/>
        </w:tabs>
        <w:rPr>
          <w:sz w:val="16"/>
          <w:szCs w:val="16"/>
        </w:rPr>
      </w:pPr>
    </w:p>
    <w:p w14:paraId="146A8729" w14:textId="33B9402A" w:rsidR="00DA7993" w:rsidRPr="004107C2" w:rsidRDefault="00DA7993" w:rsidP="00317CF7">
      <w:pPr>
        <w:tabs>
          <w:tab w:val="left" w:pos="5040"/>
          <w:tab w:val="right" w:leader="underscore" w:pos="9360"/>
        </w:tabs>
      </w:pPr>
    </w:p>
    <w:p w14:paraId="1B78A8A4" w14:textId="704788D1" w:rsidR="000028A0" w:rsidRDefault="00DA7993" w:rsidP="00317CF7">
      <w:r w:rsidRPr="004107C2">
        <w:t>Please have the appropriate officer sign this statement and include it as a part of your proposal.</w:t>
      </w:r>
      <w:r w:rsidR="000028A0">
        <w:t xml:space="preserve"> </w:t>
      </w:r>
      <w:r w:rsidR="000028A0">
        <w:br w:type="page"/>
      </w:r>
    </w:p>
    <w:p w14:paraId="6DA8841F" w14:textId="4AC50F7B" w:rsidR="000F006F" w:rsidRPr="00EC203B" w:rsidRDefault="002E3AF3" w:rsidP="00EC203B">
      <w:pPr>
        <w:pStyle w:val="Heading1"/>
        <w:jc w:val="center"/>
        <w:rPr>
          <w:i/>
          <w:sz w:val="24"/>
        </w:rPr>
      </w:pPr>
      <w:bookmarkStart w:id="178" w:name="_Toc3360035"/>
      <w:r w:rsidRPr="00EC203B">
        <w:rPr>
          <w:i/>
          <w:sz w:val="24"/>
        </w:rPr>
        <w:t>Appendix A</w:t>
      </w:r>
      <w:bookmarkEnd w:id="178"/>
    </w:p>
    <w:p w14:paraId="35C2D2C9" w14:textId="77777777" w:rsidR="00317CF7" w:rsidRPr="00EC203B" w:rsidRDefault="00317CF7" w:rsidP="00EC203B">
      <w:pPr>
        <w:pStyle w:val="Heading1"/>
        <w:jc w:val="center"/>
        <w:rPr>
          <w:i/>
          <w:sz w:val="24"/>
        </w:rPr>
      </w:pPr>
    </w:p>
    <w:p w14:paraId="30AB03A5" w14:textId="625AE0A3" w:rsidR="003C5399" w:rsidRPr="00EC203B" w:rsidRDefault="003C5399" w:rsidP="00EC203B">
      <w:pPr>
        <w:pStyle w:val="Heading2"/>
        <w:jc w:val="center"/>
        <w:rPr>
          <w:i/>
          <w:sz w:val="24"/>
        </w:rPr>
      </w:pPr>
      <w:bookmarkStart w:id="179" w:name="_Toc3360036"/>
      <w:r w:rsidRPr="00EC203B">
        <w:rPr>
          <w:i/>
          <w:sz w:val="24"/>
        </w:rPr>
        <w:t xml:space="preserve">Draft </w:t>
      </w:r>
      <w:r w:rsidR="00CA137E" w:rsidRPr="00EC203B">
        <w:rPr>
          <w:i/>
          <w:sz w:val="24"/>
        </w:rPr>
        <w:t xml:space="preserve">Actuarial Consulting </w:t>
      </w:r>
      <w:r w:rsidRPr="00EC203B">
        <w:rPr>
          <w:i/>
          <w:sz w:val="24"/>
        </w:rPr>
        <w:t>Services Contract</w:t>
      </w:r>
      <w:bookmarkEnd w:id="179"/>
    </w:p>
    <w:p w14:paraId="416AEAAC" w14:textId="3115F1AD" w:rsidR="00877AE7" w:rsidRDefault="00877AE7" w:rsidP="00317CF7">
      <w:pPr>
        <w:pStyle w:val="ListParagraph"/>
        <w:widowControl w:val="0"/>
        <w:kinsoku w:val="0"/>
        <w:overflowPunct w:val="0"/>
        <w:spacing w:before="120" w:after="120"/>
        <w:ind w:left="1440"/>
        <w:jc w:val="both"/>
        <w:textAlignment w:val="baseline"/>
        <w:rPr>
          <w:i/>
        </w:rPr>
      </w:pPr>
      <w:r>
        <w:rPr>
          <w:i/>
        </w:rPr>
        <w:br w:type="page"/>
      </w:r>
    </w:p>
    <w:p w14:paraId="1C242A16" w14:textId="4317B1BA" w:rsidR="00A24C02" w:rsidRPr="00EC203B" w:rsidRDefault="002E3AF3" w:rsidP="00EC203B">
      <w:pPr>
        <w:pStyle w:val="Heading1"/>
        <w:jc w:val="center"/>
        <w:rPr>
          <w:i/>
          <w:sz w:val="24"/>
        </w:rPr>
      </w:pPr>
      <w:bookmarkStart w:id="180" w:name="_Toc3360037"/>
      <w:r w:rsidRPr="00EC203B">
        <w:rPr>
          <w:i/>
          <w:sz w:val="24"/>
        </w:rPr>
        <w:t>Appendix B</w:t>
      </w:r>
      <w:bookmarkEnd w:id="180"/>
    </w:p>
    <w:p w14:paraId="7F09FA6B" w14:textId="77777777" w:rsidR="00317CF7" w:rsidRPr="00EC203B" w:rsidRDefault="00317CF7" w:rsidP="00EC203B">
      <w:pPr>
        <w:jc w:val="center"/>
        <w:rPr>
          <w:i/>
        </w:rPr>
      </w:pPr>
    </w:p>
    <w:p w14:paraId="3DC7AC5E" w14:textId="77777777" w:rsidR="00CA00F2" w:rsidRDefault="003D73C0" w:rsidP="00EC203B">
      <w:pPr>
        <w:pStyle w:val="Heading2"/>
        <w:jc w:val="center"/>
        <w:rPr>
          <w:i/>
          <w:sz w:val="24"/>
        </w:rPr>
      </w:pPr>
      <w:bookmarkStart w:id="181" w:name="_Toc3360038"/>
      <w:r w:rsidRPr="00EC203B">
        <w:rPr>
          <w:i/>
          <w:sz w:val="24"/>
        </w:rPr>
        <w:t>Actuarial Analysis of the Mississippi State Agencies Self-Insured Workers’ Compensation</w:t>
      </w:r>
      <w:bookmarkEnd w:id="181"/>
      <w:r w:rsidRPr="00EC203B">
        <w:rPr>
          <w:i/>
          <w:sz w:val="24"/>
        </w:rPr>
        <w:t xml:space="preserve"> </w:t>
      </w:r>
    </w:p>
    <w:p w14:paraId="4E4597AA" w14:textId="27111898" w:rsidR="003D73C0" w:rsidRPr="00EC203B" w:rsidRDefault="003D73C0" w:rsidP="00EC203B">
      <w:pPr>
        <w:pStyle w:val="Heading2"/>
        <w:jc w:val="center"/>
        <w:rPr>
          <w:i/>
          <w:sz w:val="24"/>
        </w:rPr>
      </w:pPr>
      <w:bookmarkStart w:id="182" w:name="_Toc3360039"/>
      <w:r w:rsidRPr="00EC203B">
        <w:rPr>
          <w:i/>
          <w:sz w:val="24"/>
        </w:rPr>
        <w:t>Trust</w:t>
      </w:r>
      <w:r w:rsidR="00CA00F2">
        <w:rPr>
          <w:i/>
          <w:sz w:val="24"/>
        </w:rPr>
        <w:t xml:space="preserve"> </w:t>
      </w:r>
      <w:r w:rsidRPr="00EC203B">
        <w:rPr>
          <w:i/>
          <w:sz w:val="24"/>
        </w:rPr>
        <w:t xml:space="preserve">as of </w:t>
      </w:r>
      <w:r w:rsidR="00A621F6" w:rsidRPr="00EC203B">
        <w:rPr>
          <w:i/>
          <w:sz w:val="24"/>
        </w:rPr>
        <w:t>June 30, 2018</w:t>
      </w:r>
      <w:bookmarkEnd w:id="182"/>
    </w:p>
    <w:p w14:paraId="45F376AB" w14:textId="52A60FEB" w:rsidR="00877AE7" w:rsidRPr="00877AE7" w:rsidRDefault="00877AE7" w:rsidP="00317CF7">
      <w:pPr>
        <w:pStyle w:val="Heading2"/>
        <w:jc w:val="center"/>
        <w:rPr>
          <w:i/>
        </w:rPr>
      </w:pPr>
      <w:r w:rsidRPr="00877AE7">
        <w:rPr>
          <w:i/>
        </w:rPr>
        <w:br w:type="page"/>
      </w:r>
    </w:p>
    <w:p w14:paraId="3B9E8067" w14:textId="2CCB3232" w:rsidR="000F006F" w:rsidRPr="00EC203B" w:rsidRDefault="000F006F" w:rsidP="00EC203B">
      <w:pPr>
        <w:pStyle w:val="Heading1"/>
        <w:jc w:val="center"/>
        <w:rPr>
          <w:i/>
          <w:sz w:val="24"/>
        </w:rPr>
      </w:pPr>
      <w:bookmarkStart w:id="183" w:name="_Toc3360040"/>
      <w:r w:rsidRPr="00EC203B">
        <w:rPr>
          <w:i/>
          <w:sz w:val="24"/>
        </w:rPr>
        <w:t>Appendix C</w:t>
      </w:r>
      <w:bookmarkEnd w:id="183"/>
    </w:p>
    <w:p w14:paraId="0A516130" w14:textId="77777777" w:rsidR="00317CF7" w:rsidRPr="00EC203B" w:rsidRDefault="00317CF7" w:rsidP="00EC203B">
      <w:pPr>
        <w:jc w:val="center"/>
        <w:rPr>
          <w:i/>
          <w:highlight w:val="yellow"/>
        </w:rPr>
      </w:pPr>
    </w:p>
    <w:p w14:paraId="16ECA736" w14:textId="6FA61FE7" w:rsidR="0026271C" w:rsidRPr="00EC203B" w:rsidRDefault="0026271C" w:rsidP="00EC203B">
      <w:pPr>
        <w:pStyle w:val="Heading2"/>
        <w:jc w:val="center"/>
        <w:rPr>
          <w:i/>
          <w:sz w:val="24"/>
        </w:rPr>
      </w:pPr>
      <w:bookmarkStart w:id="184" w:name="_Toc3360041"/>
      <w:r w:rsidRPr="00EC203B">
        <w:rPr>
          <w:i/>
          <w:sz w:val="24"/>
        </w:rPr>
        <w:t>Mississippi State Agencies Self-Insured Workers’ Compensation Trust - Financial Report</w:t>
      </w:r>
      <w:bookmarkEnd w:id="184"/>
    </w:p>
    <w:p w14:paraId="4EB71707" w14:textId="77777777" w:rsidR="00E40EAA" w:rsidRPr="00EC203B" w:rsidRDefault="0026271C" w:rsidP="00EC203B">
      <w:pPr>
        <w:pStyle w:val="Heading2"/>
        <w:jc w:val="center"/>
        <w:rPr>
          <w:i/>
          <w:sz w:val="24"/>
        </w:rPr>
      </w:pPr>
      <w:bookmarkStart w:id="185" w:name="_Toc3360042"/>
      <w:proofErr w:type="gramStart"/>
      <w:r w:rsidRPr="00EC203B">
        <w:rPr>
          <w:i/>
          <w:sz w:val="24"/>
        </w:rPr>
        <w:t>as</w:t>
      </w:r>
      <w:proofErr w:type="gramEnd"/>
      <w:r w:rsidRPr="00EC203B">
        <w:rPr>
          <w:i/>
          <w:sz w:val="24"/>
        </w:rPr>
        <w:t xml:space="preserve"> of June 30, 2018</w:t>
      </w:r>
      <w:bookmarkEnd w:id="185"/>
    </w:p>
    <w:p w14:paraId="213367D9" w14:textId="77777777" w:rsidR="00E40EAA" w:rsidRDefault="00E40EAA" w:rsidP="0026271C">
      <w:pPr>
        <w:jc w:val="center"/>
        <w:rPr>
          <w:b/>
          <w:i/>
        </w:rPr>
      </w:pPr>
    </w:p>
    <w:p w14:paraId="4C23A0E9" w14:textId="77777777" w:rsidR="00E40EAA" w:rsidRDefault="00E40EAA" w:rsidP="0026271C">
      <w:pPr>
        <w:jc w:val="center"/>
        <w:rPr>
          <w:b/>
          <w:i/>
        </w:rPr>
      </w:pPr>
    </w:p>
    <w:p w14:paraId="64C8F3A0" w14:textId="60FB3BD6" w:rsidR="00877AE7" w:rsidRPr="0026271C" w:rsidRDefault="00877AE7" w:rsidP="0026271C">
      <w:pPr>
        <w:jc w:val="center"/>
        <w:rPr>
          <w:b/>
          <w:i/>
        </w:rPr>
      </w:pPr>
      <w:r w:rsidRPr="0026271C">
        <w:rPr>
          <w:b/>
          <w:i/>
        </w:rPr>
        <w:br w:type="page"/>
      </w:r>
    </w:p>
    <w:p w14:paraId="7AD23F21" w14:textId="2ABC8A2B" w:rsidR="000F006F" w:rsidRPr="00EC203B" w:rsidRDefault="000F006F" w:rsidP="00EC203B">
      <w:pPr>
        <w:pStyle w:val="Heading1"/>
        <w:jc w:val="center"/>
        <w:rPr>
          <w:i/>
          <w:sz w:val="24"/>
        </w:rPr>
      </w:pPr>
      <w:bookmarkStart w:id="186" w:name="_Toc3360043"/>
      <w:r w:rsidRPr="00EC203B">
        <w:rPr>
          <w:i/>
          <w:sz w:val="24"/>
        </w:rPr>
        <w:t>Appendix D</w:t>
      </w:r>
      <w:bookmarkEnd w:id="186"/>
    </w:p>
    <w:p w14:paraId="0472B714" w14:textId="77777777" w:rsidR="00317CF7" w:rsidRPr="00EC203B" w:rsidRDefault="00317CF7" w:rsidP="00EC203B">
      <w:pPr>
        <w:jc w:val="center"/>
        <w:rPr>
          <w:i/>
        </w:rPr>
      </w:pPr>
    </w:p>
    <w:p w14:paraId="4100AB01" w14:textId="77777777" w:rsidR="00001B1F" w:rsidRDefault="00E00784" w:rsidP="00EC203B">
      <w:pPr>
        <w:pStyle w:val="Heading2"/>
        <w:jc w:val="center"/>
        <w:rPr>
          <w:i/>
          <w:sz w:val="24"/>
        </w:rPr>
      </w:pPr>
      <w:bookmarkStart w:id="187" w:name="_Toc3360044"/>
      <w:r w:rsidRPr="00EC203B">
        <w:rPr>
          <w:i/>
          <w:sz w:val="24"/>
        </w:rPr>
        <w:t>Mississippi State Agencies Self-Insured WC Trust - Loss Run Summary with Current Paid</w:t>
      </w:r>
      <w:bookmarkEnd w:id="187"/>
      <w:r w:rsidR="00001B1F">
        <w:rPr>
          <w:i/>
          <w:sz w:val="24"/>
        </w:rPr>
        <w:t xml:space="preserve"> </w:t>
      </w:r>
    </w:p>
    <w:p w14:paraId="3945E879" w14:textId="22A2220A" w:rsidR="003D73C0" w:rsidRPr="00EC203B" w:rsidRDefault="00001B1F" w:rsidP="00EC203B">
      <w:pPr>
        <w:pStyle w:val="Heading2"/>
        <w:jc w:val="center"/>
        <w:rPr>
          <w:i/>
          <w:sz w:val="24"/>
        </w:rPr>
      </w:pPr>
      <w:bookmarkStart w:id="188" w:name="_Toc3360045"/>
      <w:proofErr w:type="gramStart"/>
      <w:r>
        <w:rPr>
          <w:i/>
          <w:sz w:val="24"/>
        </w:rPr>
        <w:t>as</w:t>
      </w:r>
      <w:proofErr w:type="gramEnd"/>
      <w:r>
        <w:rPr>
          <w:i/>
          <w:sz w:val="24"/>
        </w:rPr>
        <w:t xml:space="preserve"> of June 30, 2018</w:t>
      </w:r>
      <w:bookmarkEnd w:id="188"/>
    </w:p>
    <w:p w14:paraId="6A6AD0B6" w14:textId="5987FAEB" w:rsidR="00877AE7" w:rsidRPr="00877AE7" w:rsidRDefault="00877AE7" w:rsidP="00317CF7">
      <w:pPr>
        <w:rPr>
          <w:b/>
          <w:i/>
        </w:rPr>
      </w:pPr>
      <w:r w:rsidRPr="00877AE7">
        <w:rPr>
          <w:b/>
          <w:i/>
        </w:rPr>
        <w:br w:type="page"/>
      </w:r>
    </w:p>
    <w:p w14:paraId="1589AA18" w14:textId="70F80D52" w:rsidR="000F006F" w:rsidRPr="00EC203B" w:rsidRDefault="000F006F" w:rsidP="00EC203B">
      <w:pPr>
        <w:pStyle w:val="Heading1"/>
        <w:jc w:val="center"/>
        <w:rPr>
          <w:i/>
          <w:sz w:val="24"/>
        </w:rPr>
      </w:pPr>
      <w:bookmarkStart w:id="189" w:name="_Toc3360046"/>
      <w:r w:rsidRPr="00EC203B">
        <w:rPr>
          <w:i/>
          <w:sz w:val="24"/>
        </w:rPr>
        <w:t>Appendix E</w:t>
      </w:r>
      <w:bookmarkEnd w:id="189"/>
    </w:p>
    <w:p w14:paraId="1F704C54" w14:textId="77777777" w:rsidR="00317CF7" w:rsidRPr="00EC203B" w:rsidRDefault="00317CF7" w:rsidP="00EC203B">
      <w:pPr>
        <w:jc w:val="center"/>
        <w:rPr>
          <w:i/>
        </w:rPr>
      </w:pPr>
    </w:p>
    <w:p w14:paraId="0FA1987D" w14:textId="77777777" w:rsidR="00001B1F" w:rsidRDefault="003D73C0" w:rsidP="00EC203B">
      <w:pPr>
        <w:pStyle w:val="Heading2"/>
        <w:jc w:val="center"/>
        <w:rPr>
          <w:i/>
          <w:sz w:val="24"/>
        </w:rPr>
      </w:pPr>
      <w:bookmarkStart w:id="190" w:name="_Toc3360047"/>
      <w:r w:rsidRPr="00EC203B">
        <w:rPr>
          <w:i/>
          <w:sz w:val="24"/>
        </w:rPr>
        <w:t>Actuarial Analysis of the Mississippi State Agencies Employment Compensation Revolving</w:t>
      </w:r>
      <w:bookmarkEnd w:id="190"/>
      <w:r w:rsidRPr="00EC203B">
        <w:rPr>
          <w:i/>
          <w:sz w:val="24"/>
        </w:rPr>
        <w:t xml:space="preserve"> </w:t>
      </w:r>
    </w:p>
    <w:p w14:paraId="024B6832" w14:textId="025B1F45" w:rsidR="003D73C0" w:rsidRPr="00EC203B" w:rsidRDefault="003D73C0" w:rsidP="00EC203B">
      <w:pPr>
        <w:pStyle w:val="Heading2"/>
        <w:jc w:val="center"/>
        <w:rPr>
          <w:i/>
          <w:sz w:val="24"/>
        </w:rPr>
      </w:pPr>
      <w:bookmarkStart w:id="191" w:name="_Toc3360048"/>
      <w:r w:rsidRPr="00EC203B">
        <w:rPr>
          <w:i/>
          <w:sz w:val="24"/>
        </w:rPr>
        <w:t>Fund</w:t>
      </w:r>
      <w:r w:rsidR="00001B1F">
        <w:rPr>
          <w:i/>
          <w:sz w:val="24"/>
        </w:rPr>
        <w:t xml:space="preserve"> </w:t>
      </w:r>
      <w:r w:rsidRPr="00EC203B">
        <w:rPr>
          <w:i/>
          <w:sz w:val="24"/>
        </w:rPr>
        <w:t xml:space="preserve">as of </w:t>
      </w:r>
      <w:r w:rsidR="00877AE7" w:rsidRPr="00EC203B">
        <w:rPr>
          <w:i/>
          <w:sz w:val="24"/>
        </w:rPr>
        <w:t>June 30, 2018</w:t>
      </w:r>
      <w:bookmarkEnd w:id="191"/>
    </w:p>
    <w:p w14:paraId="76786447" w14:textId="004917F4" w:rsidR="003D73C0" w:rsidRPr="002E3AF3" w:rsidRDefault="003D73C0" w:rsidP="00317CF7">
      <w:pPr>
        <w:jc w:val="center"/>
        <w:rPr>
          <w:b/>
          <w:i/>
        </w:rPr>
      </w:pPr>
    </w:p>
    <w:p w14:paraId="7F7A932C" w14:textId="69B362D0" w:rsidR="00877AE7" w:rsidRDefault="00877AE7" w:rsidP="00317CF7">
      <w:pPr>
        <w:rPr>
          <w:i/>
        </w:rPr>
      </w:pPr>
      <w:r>
        <w:rPr>
          <w:i/>
        </w:rPr>
        <w:br w:type="page"/>
      </w:r>
    </w:p>
    <w:p w14:paraId="06DB4DDB" w14:textId="6B36E375" w:rsidR="000F006F" w:rsidRPr="00EC203B" w:rsidRDefault="002E3AF3" w:rsidP="00EC203B">
      <w:pPr>
        <w:pStyle w:val="Heading1"/>
        <w:jc w:val="center"/>
        <w:rPr>
          <w:i/>
          <w:sz w:val="24"/>
        </w:rPr>
      </w:pPr>
      <w:bookmarkStart w:id="192" w:name="_Toc3360049"/>
      <w:r w:rsidRPr="00EC203B">
        <w:rPr>
          <w:i/>
          <w:sz w:val="24"/>
        </w:rPr>
        <w:t>Appendix F</w:t>
      </w:r>
      <w:bookmarkEnd w:id="192"/>
    </w:p>
    <w:p w14:paraId="33C0E46F" w14:textId="77777777" w:rsidR="00317CF7" w:rsidRPr="00EC203B" w:rsidRDefault="00317CF7" w:rsidP="00EC203B">
      <w:pPr>
        <w:jc w:val="center"/>
        <w:rPr>
          <w:i/>
        </w:rPr>
      </w:pPr>
    </w:p>
    <w:p w14:paraId="47A9C7C8" w14:textId="601E3D8B" w:rsidR="00877AE7" w:rsidRPr="00EC203B" w:rsidRDefault="003D73C0" w:rsidP="00EC203B">
      <w:pPr>
        <w:pStyle w:val="Heading2"/>
        <w:jc w:val="center"/>
        <w:rPr>
          <w:i/>
          <w:sz w:val="24"/>
        </w:rPr>
      </w:pPr>
      <w:bookmarkStart w:id="193" w:name="_Toc3360050"/>
      <w:r w:rsidRPr="00EC203B">
        <w:rPr>
          <w:i/>
          <w:sz w:val="24"/>
        </w:rPr>
        <w:t>FY 201</w:t>
      </w:r>
      <w:r w:rsidR="00877AE7" w:rsidRPr="00EC203B">
        <w:rPr>
          <w:i/>
          <w:sz w:val="24"/>
        </w:rPr>
        <w:t>8</w:t>
      </w:r>
      <w:r w:rsidRPr="00EC203B">
        <w:rPr>
          <w:i/>
          <w:sz w:val="24"/>
        </w:rPr>
        <w:t xml:space="preserve"> Mississippi State Agencies Employment Compensation Revolving Fund</w:t>
      </w:r>
      <w:bookmarkEnd w:id="193"/>
    </w:p>
    <w:p w14:paraId="7C00A249" w14:textId="57622D4E" w:rsidR="003D73C0" w:rsidRPr="00EC203B" w:rsidRDefault="003D73C0" w:rsidP="00EC203B">
      <w:pPr>
        <w:pStyle w:val="Heading2"/>
        <w:jc w:val="center"/>
        <w:rPr>
          <w:i/>
          <w:sz w:val="24"/>
        </w:rPr>
      </w:pPr>
      <w:bookmarkStart w:id="194" w:name="_Toc3360051"/>
      <w:r w:rsidRPr="00EC203B">
        <w:rPr>
          <w:i/>
          <w:sz w:val="24"/>
        </w:rPr>
        <w:t>Financial Report</w:t>
      </w:r>
      <w:bookmarkEnd w:id="194"/>
    </w:p>
    <w:p w14:paraId="11DB3D36" w14:textId="77777777" w:rsidR="003D73C0" w:rsidRPr="00905D13" w:rsidRDefault="003D73C0" w:rsidP="00317CF7">
      <w:pPr>
        <w:rPr>
          <w:i/>
        </w:rPr>
      </w:pPr>
    </w:p>
    <w:sectPr w:rsidR="003D73C0" w:rsidRPr="00905D13" w:rsidSect="006E7A4A">
      <w:footerReference w:type="first" r:id="rId19"/>
      <w:pgSz w:w="12240" w:h="15840"/>
      <w:pgMar w:top="1170" w:right="900" w:bottom="810" w:left="117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7AF32" w14:textId="77777777" w:rsidR="00EC203B" w:rsidRDefault="00EC203B">
      <w:r>
        <w:separator/>
      </w:r>
    </w:p>
  </w:endnote>
  <w:endnote w:type="continuationSeparator" w:id="0">
    <w:p w14:paraId="5CBB1DF6" w14:textId="77777777" w:rsidR="00EC203B" w:rsidRDefault="00EC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B96D" w14:textId="77777777" w:rsidR="00EC203B" w:rsidRDefault="00EC203B">
    <w:pPr>
      <w:pStyle w:val="Footer"/>
      <w:framePr w:wrap="around" w:vAnchor="text" w:hAnchor="margin" w:xAlign="center" w:y="1"/>
      <w:rPr>
        <w:rStyle w:val="PageNumber"/>
      </w:rPr>
    </w:pPr>
    <w:r>
      <w:rPr>
        <w:rStyle w:val="PageNumber"/>
      </w:rPr>
      <w:fldChar w:fldCharType="begin"/>
    </w:r>
    <w:r>
      <w:rPr>
        <w:rStyle w:val="PageNumber"/>
      </w:rPr>
      <w:instrText xml:space="preserve"> PAGE  \* roman </w:instrText>
    </w:r>
    <w:r>
      <w:rPr>
        <w:rStyle w:val="PageNumber"/>
      </w:rPr>
      <w:fldChar w:fldCharType="separate"/>
    </w:r>
    <w:r>
      <w:rPr>
        <w:rStyle w:val="PageNumber"/>
        <w:noProof/>
      </w:rPr>
      <w:t>iv</w:t>
    </w:r>
    <w:r>
      <w:rPr>
        <w:rStyle w:val="PageNumber"/>
      </w:rPr>
      <w:fldChar w:fldCharType="end"/>
    </w:r>
  </w:p>
  <w:p w14:paraId="0B152E31" w14:textId="77777777" w:rsidR="00EC203B" w:rsidRDefault="00EC2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358219"/>
      <w:docPartObj>
        <w:docPartGallery w:val="Page Numbers (Bottom of Page)"/>
        <w:docPartUnique/>
      </w:docPartObj>
    </w:sdtPr>
    <w:sdtEndPr/>
    <w:sdtContent>
      <w:sdt>
        <w:sdtPr>
          <w:id w:val="679778074"/>
          <w:docPartObj>
            <w:docPartGallery w:val="Page Numbers (Top of Page)"/>
            <w:docPartUnique/>
          </w:docPartObj>
        </w:sdtPr>
        <w:sdtEndPr/>
        <w:sdtContent>
          <w:sdt>
            <w:sdtPr>
              <w:id w:val="382684584"/>
              <w:docPartObj>
                <w:docPartGallery w:val="Page Numbers (Bottom of Page)"/>
                <w:docPartUnique/>
              </w:docPartObj>
            </w:sdtPr>
            <w:sdtEndPr/>
            <w:sdtContent>
              <w:sdt>
                <w:sdtPr>
                  <w:id w:val="1909104411"/>
                  <w:docPartObj>
                    <w:docPartGallery w:val="Page Numbers (Top of Page)"/>
                    <w:docPartUnique/>
                  </w:docPartObj>
                </w:sdtPr>
                <w:sdtEndPr/>
                <w:sdtContent>
                  <w:p w14:paraId="0568E3B5" w14:textId="0A1431CA" w:rsidR="00EC203B" w:rsidRDefault="00EC203B" w:rsidP="00322E8C">
                    <w:pPr>
                      <w:pStyle w:val="Footer"/>
                      <w:pBdr>
                        <w:top w:val="thinThickSmallGap" w:sz="24" w:space="1" w:color="632423" w:themeColor="accent2" w:themeShade="80"/>
                      </w:pBdr>
                      <w:tabs>
                        <w:tab w:val="clear" w:pos="8640"/>
                        <w:tab w:val="right" w:pos="9900"/>
                      </w:tabs>
                    </w:pPr>
                    <w:r>
                      <w:t xml:space="preserve">MSAWCT Actuarial Consulting RFP – </w:t>
                    </w:r>
                    <w:r w:rsidRPr="005F2381">
                      <w:t>3/13/19</w:t>
                    </w:r>
                    <w:r>
                      <w:t xml:space="preserve">       </w:t>
                    </w:r>
                    <w:r>
                      <w:tab/>
                      <w:t xml:space="preserve">Page </w:t>
                    </w:r>
                    <w:r w:rsidRPr="004107C2">
                      <w:fldChar w:fldCharType="begin"/>
                    </w:r>
                    <w:r w:rsidRPr="004107C2">
                      <w:instrText xml:space="preserve"> PAGE  \* Arabic  \* MERGEFORMAT </w:instrText>
                    </w:r>
                    <w:r w:rsidRPr="004107C2">
                      <w:fldChar w:fldCharType="separate"/>
                    </w:r>
                    <w:r w:rsidR="006C2D52">
                      <w:rPr>
                        <w:noProof/>
                      </w:rPr>
                      <w:t>30</w:t>
                    </w:r>
                    <w:r w:rsidRPr="004107C2">
                      <w:fldChar w:fldCharType="end"/>
                    </w:r>
                    <w:r w:rsidRPr="004107C2">
                      <w:t xml:space="preserve"> of </w:t>
                    </w:r>
                    <w:r>
                      <w:rPr>
                        <w:noProof/>
                      </w:rPr>
                      <w:t>3</w:t>
                    </w:r>
                    <w:r w:rsidR="00CA00F2">
                      <w:rPr>
                        <w:noProof/>
                      </w:rPr>
                      <w:t>3</w:t>
                    </w:r>
                  </w:p>
                </w:sdtContent>
              </w:sdt>
            </w:sdtContent>
          </w:sdt>
        </w:sdtContent>
      </w:sdt>
    </w:sdtContent>
  </w:sdt>
  <w:p w14:paraId="54F2E351" w14:textId="77777777" w:rsidR="00EC203B" w:rsidRDefault="00EC2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932530"/>
      <w:docPartObj>
        <w:docPartGallery w:val="Page Numbers (Top of Page)"/>
        <w:docPartUnique/>
      </w:docPartObj>
    </w:sdtPr>
    <w:sdtEndPr/>
    <w:sdtContent>
      <w:p w14:paraId="57A0CEE6" w14:textId="47D27BB4" w:rsidR="00EC203B" w:rsidRDefault="00EC203B" w:rsidP="000A27B8">
        <w:pPr>
          <w:pStyle w:val="Footer"/>
          <w:pBdr>
            <w:top w:val="thinThickSmallGap" w:sz="24" w:space="1" w:color="632423" w:themeColor="accent2" w:themeShade="80"/>
          </w:pBdr>
          <w:tabs>
            <w:tab w:val="clear" w:pos="8640"/>
            <w:tab w:val="right" w:pos="8550"/>
            <w:tab w:val="right" w:pos="9720"/>
          </w:tabs>
        </w:pPr>
        <w:r>
          <w:t>MSAWCT Consulting Actuary RFP – 3/13</w:t>
        </w:r>
        <w:r w:rsidRPr="009B271D">
          <w:t>/1</w:t>
        </w:r>
        <w:r>
          <w:t xml:space="preserve">9       </w:t>
        </w:r>
        <w:r>
          <w:tab/>
          <w:t xml:space="preserve">  </w:t>
        </w:r>
        <w:r>
          <w:tab/>
          <w:t xml:space="preserve">Page </w:t>
        </w:r>
        <w:r w:rsidRPr="004107C2">
          <w:fldChar w:fldCharType="begin"/>
        </w:r>
        <w:r w:rsidRPr="004107C2">
          <w:instrText xml:space="preserve"> PAGE  \* Arabic  \* MERGEFORMAT </w:instrText>
        </w:r>
        <w:r w:rsidRPr="004107C2">
          <w:fldChar w:fldCharType="separate"/>
        </w:r>
        <w:r w:rsidR="006C2D52">
          <w:rPr>
            <w:noProof/>
          </w:rPr>
          <w:t>2</w:t>
        </w:r>
        <w:r w:rsidRPr="004107C2">
          <w:fldChar w:fldCharType="end"/>
        </w:r>
        <w:r w:rsidRPr="004107C2">
          <w:t xml:space="preserve"> of </w:t>
        </w:r>
        <w:r>
          <w:rPr>
            <w:noProof/>
          </w:rPr>
          <w:fldChar w:fldCharType="begin"/>
        </w:r>
        <w:r>
          <w:rPr>
            <w:noProof/>
          </w:rPr>
          <w:instrText xml:space="preserve"> SECTIONPAGES  \* Arabic  \* MERGEFORMAT </w:instrText>
        </w:r>
        <w:r>
          <w:rPr>
            <w:noProof/>
          </w:rPr>
          <w:fldChar w:fldCharType="separate"/>
        </w:r>
        <w:r w:rsidR="006C2D52">
          <w:rPr>
            <w:noProof/>
          </w:rPr>
          <w:t>32</w:t>
        </w:r>
        <w:r>
          <w:rPr>
            <w:noProof/>
          </w:rPr>
          <w:fldChar w:fldCharType="end"/>
        </w:r>
      </w:p>
    </w:sdtContent>
  </w:sdt>
  <w:p w14:paraId="017F26BE" w14:textId="77777777" w:rsidR="00EC203B" w:rsidRPr="00076E65" w:rsidRDefault="00EC203B" w:rsidP="000A27B8">
    <w:pPr>
      <w:pStyle w:val="Footer"/>
      <w:tabs>
        <w:tab w:val="clear" w:pos="8640"/>
        <w:tab w:val="right" w:pos="9540"/>
      </w:tabs>
    </w:pPr>
  </w:p>
  <w:p w14:paraId="78D1FC4C" w14:textId="77777777" w:rsidR="00EC203B" w:rsidRDefault="00EC2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1C608" w14:textId="77777777" w:rsidR="00EC203B" w:rsidRDefault="00EC203B">
      <w:r>
        <w:separator/>
      </w:r>
    </w:p>
  </w:footnote>
  <w:footnote w:type="continuationSeparator" w:id="0">
    <w:p w14:paraId="7C923263" w14:textId="77777777" w:rsidR="00EC203B" w:rsidRDefault="00EC2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B1CF43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D38C541C"/>
    <w:lvl w:ilvl="0">
      <w:start w:val="1"/>
      <w:numFmt w:val="decimal"/>
      <w:pStyle w:val="ListNumber"/>
      <w:lvlText w:val="%1."/>
      <w:lvlJc w:val="left"/>
      <w:pPr>
        <w:tabs>
          <w:tab w:val="num" w:pos="360"/>
        </w:tabs>
        <w:ind w:left="360" w:hanging="360"/>
      </w:pPr>
    </w:lvl>
  </w:abstractNum>
  <w:abstractNum w:abstractNumId="2" w15:restartNumberingAfterBreak="0">
    <w:nsid w:val="0B363A68"/>
    <w:multiLevelType w:val="hybridMultilevel"/>
    <w:tmpl w:val="F0B6250E"/>
    <w:lvl w:ilvl="0" w:tplc="E45649CA">
      <w:start w:val="1"/>
      <w:numFmt w:val="decimal"/>
      <w:lvlText w:val="%1."/>
      <w:lvlJc w:val="left"/>
      <w:pPr>
        <w:ind w:left="81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B67BC"/>
    <w:multiLevelType w:val="hybridMultilevel"/>
    <w:tmpl w:val="B5A29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3A"/>
    <w:multiLevelType w:val="hybridMultilevel"/>
    <w:tmpl w:val="B3A4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677FF"/>
    <w:multiLevelType w:val="hybridMultilevel"/>
    <w:tmpl w:val="77B283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C2514"/>
    <w:multiLevelType w:val="hybridMultilevel"/>
    <w:tmpl w:val="4CF6F3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96308C"/>
    <w:multiLevelType w:val="multilevel"/>
    <w:tmpl w:val="179C33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4857FA"/>
    <w:multiLevelType w:val="hybridMultilevel"/>
    <w:tmpl w:val="AF2EEB42"/>
    <w:lvl w:ilvl="0" w:tplc="DDC425B2">
      <w:start w:val="1"/>
      <w:numFmt w:val="decimal"/>
      <w:pStyle w:val="NumList1"/>
      <w:lvlText w:val="%1."/>
      <w:lvlJc w:val="center"/>
      <w:pPr>
        <w:ind w:left="1080" w:hanging="360"/>
      </w:pPr>
      <w:rPr>
        <w:rFonts w:ascii="Times New Roman" w:hAnsi="Times New Roman" w:cs="Times New Roman" w:hint="default"/>
        <w:b w:val="0"/>
        <w:i w:val="0"/>
        <w:sz w:val="24"/>
        <w:szCs w:val="24"/>
      </w:rPr>
    </w:lvl>
    <w:lvl w:ilvl="1" w:tplc="04090019">
      <w:start w:val="1"/>
      <w:numFmt w:val="lowerLetter"/>
      <w:lvlText w:val="%2."/>
      <w:lvlJc w:val="left"/>
      <w:pPr>
        <w:ind w:left="-990" w:hanging="360"/>
      </w:pPr>
    </w:lvl>
    <w:lvl w:ilvl="2" w:tplc="0409001B">
      <w:start w:val="1"/>
      <w:numFmt w:val="lowerRoman"/>
      <w:lvlText w:val="%3."/>
      <w:lvlJc w:val="right"/>
      <w:pPr>
        <w:ind w:left="-270" w:hanging="180"/>
      </w:pPr>
    </w:lvl>
    <w:lvl w:ilvl="3" w:tplc="0409000F">
      <w:start w:val="1"/>
      <w:numFmt w:val="decimal"/>
      <w:lvlText w:val="%4."/>
      <w:lvlJc w:val="left"/>
      <w:pPr>
        <w:ind w:left="450" w:hanging="360"/>
      </w:pPr>
    </w:lvl>
    <w:lvl w:ilvl="4" w:tplc="04090019">
      <w:start w:val="1"/>
      <w:numFmt w:val="lowerLetter"/>
      <w:lvlText w:val="%5."/>
      <w:lvlJc w:val="left"/>
      <w:pPr>
        <w:ind w:left="1170" w:hanging="360"/>
      </w:pPr>
    </w:lvl>
    <w:lvl w:ilvl="5" w:tplc="0409001B">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9" w15:restartNumberingAfterBreak="0">
    <w:nsid w:val="37A61B5E"/>
    <w:multiLevelType w:val="multilevel"/>
    <w:tmpl w:val="179C33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156BD1"/>
    <w:multiLevelType w:val="hybridMultilevel"/>
    <w:tmpl w:val="9A1243EC"/>
    <w:lvl w:ilvl="0" w:tplc="191A5B72">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0106BA"/>
    <w:multiLevelType w:val="hybridMultilevel"/>
    <w:tmpl w:val="8FFC52D8"/>
    <w:lvl w:ilvl="0" w:tplc="BA26FB02">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58568F"/>
    <w:multiLevelType w:val="hybridMultilevel"/>
    <w:tmpl w:val="C2D2A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F784F"/>
    <w:multiLevelType w:val="hybridMultilevel"/>
    <w:tmpl w:val="8EFC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E4A64"/>
    <w:multiLevelType w:val="hybridMultilevel"/>
    <w:tmpl w:val="8FFC52D8"/>
    <w:lvl w:ilvl="0" w:tplc="BA26FB02">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26074B"/>
    <w:multiLevelType w:val="hybridMultilevel"/>
    <w:tmpl w:val="DF2AF0A4"/>
    <w:lvl w:ilvl="0" w:tplc="63B44C8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8"/>
  </w:num>
  <w:num w:numId="4">
    <w:abstractNumId w:val="5"/>
  </w:num>
  <w:num w:numId="5">
    <w:abstractNumId w:val="10"/>
  </w:num>
  <w:num w:numId="6">
    <w:abstractNumId w:val="11"/>
  </w:num>
  <w:num w:numId="7">
    <w:abstractNumId w:val="1"/>
  </w:num>
  <w:num w:numId="8">
    <w:abstractNumId w:val="3"/>
  </w:num>
  <w:num w:numId="9">
    <w:abstractNumId w:val="13"/>
  </w:num>
  <w:num w:numId="10">
    <w:abstractNumId w:val="2"/>
  </w:num>
  <w:num w:numId="11">
    <w:abstractNumId w:val="8"/>
    <w:lvlOverride w:ilvl="0">
      <w:startOverride w:val="1"/>
    </w:lvlOverride>
  </w:num>
  <w:num w:numId="12">
    <w:abstractNumId w:val="6"/>
  </w:num>
  <w:num w:numId="13">
    <w:abstractNumId w:val="9"/>
  </w:num>
  <w:num w:numId="14">
    <w:abstractNumId w:val="8"/>
    <w:lvlOverride w:ilvl="0">
      <w:startOverride w:val="1"/>
    </w:lvlOverride>
  </w:num>
  <w:num w:numId="15">
    <w:abstractNumId w:val="0"/>
  </w:num>
  <w:num w:numId="16">
    <w:abstractNumId w:val="15"/>
  </w:num>
  <w:num w:numId="17">
    <w:abstractNumId w:val="4"/>
  </w:num>
  <w:num w:numId="18">
    <w:abstractNumId w:val="12"/>
  </w:num>
  <w:num w:numId="19">
    <w:abstractNumId w:val="8"/>
    <w:lvlOverride w:ilvl="0">
      <w:startOverride w:val="1"/>
    </w:lvlOverride>
  </w:num>
  <w:num w:numId="20">
    <w:abstractNumId w:val="8"/>
    <w:lvlOverride w:ilvl="0">
      <w:startOverride w:val="1"/>
    </w:lvlOverride>
  </w:num>
  <w:num w:numId="21">
    <w:abstractNumId w:val="14"/>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62"/>
    <w:rsid w:val="0000019D"/>
    <w:rsid w:val="00001B1F"/>
    <w:rsid w:val="000028A0"/>
    <w:rsid w:val="00007A03"/>
    <w:rsid w:val="00007D5E"/>
    <w:rsid w:val="00015B80"/>
    <w:rsid w:val="00015C2E"/>
    <w:rsid w:val="00021C83"/>
    <w:rsid w:val="00023738"/>
    <w:rsid w:val="000279A1"/>
    <w:rsid w:val="00035EB1"/>
    <w:rsid w:val="00044BE1"/>
    <w:rsid w:val="00046B44"/>
    <w:rsid w:val="00047515"/>
    <w:rsid w:val="00051C41"/>
    <w:rsid w:val="00057EA6"/>
    <w:rsid w:val="00067F13"/>
    <w:rsid w:val="00071E9C"/>
    <w:rsid w:val="0007335D"/>
    <w:rsid w:val="00073380"/>
    <w:rsid w:val="00076E65"/>
    <w:rsid w:val="00077C2F"/>
    <w:rsid w:val="00084333"/>
    <w:rsid w:val="00085724"/>
    <w:rsid w:val="00085CE7"/>
    <w:rsid w:val="00086B3F"/>
    <w:rsid w:val="00087BD2"/>
    <w:rsid w:val="000A27B8"/>
    <w:rsid w:val="000A699D"/>
    <w:rsid w:val="000C4EF1"/>
    <w:rsid w:val="000D062D"/>
    <w:rsid w:val="000D268F"/>
    <w:rsid w:val="000E3BA4"/>
    <w:rsid w:val="000F006F"/>
    <w:rsid w:val="000F050A"/>
    <w:rsid w:val="000F1AD6"/>
    <w:rsid w:val="000F7226"/>
    <w:rsid w:val="001015B0"/>
    <w:rsid w:val="0010401F"/>
    <w:rsid w:val="00104D2F"/>
    <w:rsid w:val="00110374"/>
    <w:rsid w:val="00111B76"/>
    <w:rsid w:val="0011325A"/>
    <w:rsid w:val="00122FCD"/>
    <w:rsid w:val="0012364C"/>
    <w:rsid w:val="0012551F"/>
    <w:rsid w:val="0012781E"/>
    <w:rsid w:val="0013780A"/>
    <w:rsid w:val="00141C20"/>
    <w:rsid w:val="001461F8"/>
    <w:rsid w:val="00150552"/>
    <w:rsid w:val="00152499"/>
    <w:rsid w:val="001628E1"/>
    <w:rsid w:val="001634F8"/>
    <w:rsid w:val="00163A23"/>
    <w:rsid w:val="00171AE6"/>
    <w:rsid w:val="0017626A"/>
    <w:rsid w:val="00182839"/>
    <w:rsid w:val="00187F20"/>
    <w:rsid w:val="001961C9"/>
    <w:rsid w:val="001A26ED"/>
    <w:rsid w:val="001A39C2"/>
    <w:rsid w:val="001A5B2C"/>
    <w:rsid w:val="001A5B6B"/>
    <w:rsid w:val="001A5E18"/>
    <w:rsid w:val="001B0464"/>
    <w:rsid w:val="001B0A63"/>
    <w:rsid w:val="001B2162"/>
    <w:rsid w:val="001B28B2"/>
    <w:rsid w:val="001B362F"/>
    <w:rsid w:val="001B725C"/>
    <w:rsid w:val="001C67B4"/>
    <w:rsid w:val="001D6564"/>
    <w:rsid w:val="001F16C6"/>
    <w:rsid w:val="001F5846"/>
    <w:rsid w:val="00200189"/>
    <w:rsid w:val="00201AB8"/>
    <w:rsid w:val="00201F52"/>
    <w:rsid w:val="00205E7B"/>
    <w:rsid w:val="00217A48"/>
    <w:rsid w:val="00217E01"/>
    <w:rsid w:val="002227E3"/>
    <w:rsid w:val="00230512"/>
    <w:rsid w:val="002313DF"/>
    <w:rsid w:val="00240AEE"/>
    <w:rsid w:val="00250CAC"/>
    <w:rsid w:val="00252535"/>
    <w:rsid w:val="00254D9C"/>
    <w:rsid w:val="0026271C"/>
    <w:rsid w:val="0026305C"/>
    <w:rsid w:val="0026717E"/>
    <w:rsid w:val="002725B7"/>
    <w:rsid w:val="00273C3B"/>
    <w:rsid w:val="00276371"/>
    <w:rsid w:val="00277A18"/>
    <w:rsid w:val="00281FC5"/>
    <w:rsid w:val="00284FAE"/>
    <w:rsid w:val="002862EE"/>
    <w:rsid w:val="00290BEC"/>
    <w:rsid w:val="002A07E8"/>
    <w:rsid w:val="002A0ACA"/>
    <w:rsid w:val="002B6C72"/>
    <w:rsid w:val="002C39EB"/>
    <w:rsid w:val="002C7772"/>
    <w:rsid w:val="002D03EF"/>
    <w:rsid w:val="002E2041"/>
    <w:rsid w:val="002E3924"/>
    <w:rsid w:val="002E3AF3"/>
    <w:rsid w:val="002E51F2"/>
    <w:rsid w:val="002E5A57"/>
    <w:rsid w:val="002F4259"/>
    <w:rsid w:val="002F7FCC"/>
    <w:rsid w:val="003015D1"/>
    <w:rsid w:val="00305713"/>
    <w:rsid w:val="00317CF7"/>
    <w:rsid w:val="00322A59"/>
    <w:rsid w:val="00322E8C"/>
    <w:rsid w:val="00325173"/>
    <w:rsid w:val="003263B8"/>
    <w:rsid w:val="003316ED"/>
    <w:rsid w:val="00332183"/>
    <w:rsid w:val="00332A0A"/>
    <w:rsid w:val="00333B2F"/>
    <w:rsid w:val="003368D4"/>
    <w:rsid w:val="0034048B"/>
    <w:rsid w:val="00360101"/>
    <w:rsid w:val="00361D6C"/>
    <w:rsid w:val="003643A1"/>
    <w:rsid w:val="003657F2"/>
    <w:rsid w:val="00365B26"/>
    <w:rsid w:val="00374485"/>
    <w:rsid w:val="00381311"/>
    <w:rsid w:val="00381B09"/>
    <w:rsid w:val="00382380"/>
    <w:rsid w:val="00387E4B"/>
    <w:rsid w:val="0039066E"/>
    <w:rsid w:val="003916EB"/>
    <w:rsid w:val="00392821"/>
    <w:rsid w:val="00392A8F"/>
    <w:rsid w:val="003937BA"/>
    <w:rsid w:val="0039499C"/>
    <w:rsid w:val="003B3797"/>
    <w:rsid w:val="003C5399"/>
    <w:rsid w:val="003D2204"/>
    <w:rsid w:val="003D362B"/>
    <w:rsid w:val="003D73C0"/>
    <w:rsid w:val="003E22D6"/>
    <w:rsid w:val="003E4133"/>
    <w:rsid w:val="003F0A19"/>
    <w:rsid w:val="003F1A50"/>
    <w:rsid w:val="003F1BD0"/>
    <w:rsid w:val="003F38EB"/>
    <w:rsid w:val="00400F7B"/>
    <w:rsid w:val="00403784"/>
    <w:rsid w:val="0041346E"/>
    <w:rsid w:val="00413D52"/>
    <w:rsid w:val="00424CA5"/>
    <w:rsid w:val="0042610E"/>
    <w:rsid w:val="004277A5"/>
    <w:rsid w:val="00433DBB"/>
    <w:rsid w:val="00434D36"/>
    <w:rsid w:val="00435A2F"/>
    <w:rsid w:val="00435BEA"/>
    <w:rsid w:val="004370CF"/>
    <w:rsid w:val="00437E58"/>
    <w:rsid w:val="00440908"/>
    <w:rsid w:val="00453C94"/>
    <w:rsid w:val="00454EAB"/>
    <w:rsid w:val="004642D9"/>
    <w:rsid w:val="00465498"/>
    <w:rsid w:val="004769E9"/>
    <w:rsid w:val="004872EC"/>
    <w:rsid w:val="00487332"/>
    <w:rsid w:val="004913C7"/>
    <w:rsid w:val="00495561"/>
    <w:rsid w:val="004A1278"/>
    <w:rsid w:val="004A143C"/>
    <w:rsid w:val="004A4937"/>
    <w:rsid w:val="004B5F96"/>
    <w:rsid w:val="004C55D7"/>
    <w:rsid w:val="004C7A62"/>
    <w:rsid w:val="004D14A3"/>
    <w:rsid w:val="004D22AC"/>
    <w:rsid w:val="004D6994"/>
    <w:rsid w:val="004D74AD"/>
    <w:rsid w:val="004E2F43"/>
    <w:rsid w:val="004E6952"/>
    <w:rsid w:val="004F12BB"/>
    <w:rsid w:val="004F2359"/>
    <w:rsid w:val="004F240D"/>
    <w:rsid w:val="004F3B92"/>
    <w:rsid w:val="004F5843"/>
    <w:rsid w:val="00505281"/>
    <w:rsid w:val="0051135C"/>
    <w:rsid w:val="00516B12"/>
    <w:rsid w:val="00517747"/>
    <w:rsid w:val="005251F4"/>
    <w:rsid w:val="0052547E"/>
    <w:rsid w:val="005337D7"/>
    <w:rsid w:val="00543F74"/>
    <w:rsid w:val="00544252"/>
    <w:rsid w:val="00546EF9"/>
    <w:rsid w:val="00550518"/>
    <w:rsid w:val="005554BE"/>
    <w:rsid w:val="005556D8"/>
    <w:rsid w:val="00555CD1"/>
    <w:rsid w:val="00570BD9"/>
    <w:rsid w:val="00574D8B"/>
    <w:rsid w:val="005768DC"/>
    <w:rsid w:val="00583F4A"/>
    <w:rsid w:val="00587B36"/>
    <w:rsid w:val="0059500E"/>
    <w:rsid w:val="005958AA"/>
    <w:rsid w:val="00596612"/>
    <w:rsid w:val="005967D1"/>
    <w:rsid w:val="005A6B79"/>
    <w:rsid w:val="005B4E88"/>
    <w:rsid w:val="005B560A"/>
    <w:rsid w:val="005B7F8B"/>
    <w:rsid w:val="005C1630"/>
    <w:rsid w:val="005C74F8"/>
    <w:rsid w:val="005E1A44"/>
    <w:rsid w:val="005E37D2"/>
    <w:rsid w:val="005F0F6E"/>
    <w:rsid w:val="005F2042"/>
    <w:rsid w:val="005F2381"/>
    <w:rsid w:val="005F260E"/>
    <w:rsid w:val="005F4BF1"/>
    <w:rsid w:val="005F7A29"/>
    <w:rsid w:val="006028E7"/>
    <w:rsid w:val="00611C76"/>
    <w:rsid w:val="006121CF"/>
    <w:rsid w:val="00615600"/>
    <w:rsid w:val="00615714"/>
    <w:rsid w:val="006264F4"/>
    <w:rsid w:val="0062691C"/>
    <w:rsid w:val="00635BE6"/>
    <w:rsid w:val="0063690C"/>
    <w:rsid w:val="0064324A"/>
    <w:rsid w:val="006435E1"/>
    <w:rsid w:val="006511F7"/>
    <w:rsid w:val="00651BC2"/>
    <w:rsid w:val="00653148"/>
    <w:rsid w:val="006564C1"/>
    <w:rsid w:val="00660388"/>
    <w:rsid w:val="006629E6"/>
    <w:rsid w:val="00665A38"/>
    <w:rsid w:val="00674AA4"/>
    <w:rsid w:val="006764BC"/>
    <w:rsid w:val="00690262"/>
    <w:rsid w:val="006938AC"/>
    <w:rsid w:val="00694947"/>
    <w:rsid w:val="006960B9"/>
    <w:rsid w:val="006A6AC0"/>
    <w:rsid w:val="006A7384"/>
    <w:rsid w:val="006B3811"/>
    <w:rsid w:val="006B69AD"/>
    <w:rsid w:val="006C23E5"/>
    <w:rsid w:val="006C2D52"/>
    <w:rsid w:val="006C3163"/>
    <w:rsid w:val="006C462D"/>
    <w:rsid w:val="006D3B5E"/>
    <w:rsid w:val="006E03A7"/>
    <w:rsid w:val="006E2129"/>
    <w:rsid w:val="006E2BAF"/>
    <w:rsid w:val="006E7A4A"/>
    <w:rsid w:val="007002C1"/>
    <w:rsid w:val="00702A70"/>
    <w:rsid w:val="007176AF"/>
    <w:rsid w:val="007216BC"/>
    <w:rsid w:val="00722100"/>
    <w:rsid w:val="007227E6"/>
    <w:rsid w:val="00727BC7"/>
    <w:rsid w:val="00730647"/>
    <w:rsid w:val="00734D4C"/>
    <w:rsid w:val="0073658C"/>
    <w:rsid w:val="007427E6"/>
    <w:rsid w:val="00743816"/>
    <w:rsid w:val="007458A0"/>
    <w:rsid w:val="00752F75"/>
    <w:rsid w:val="00756ACB"/>
    <w:rsid w:val="0075771C"/>
    <w:rsid w:val="00766D96"/>
    <w:rsid w:val="0077021F"/>
    <w:rsid w:val="007715B6"/>
    <w:rsid w:val="00771649"/>
    <w:rsid w:val="007751B3"/>
    <w:rsid w:val="00783B44"/>
    <w:rsid w:val="0078476A"/>
    <w:rsid w:val="007917E2"/>
    <w:rsid w:val="00794EFF"/>
    <w:rsid w:val="00796A41"/>
    <w:rsid w:val="007A4113"/>
    <w:rsid w:val="007A475E"/>
    <w:rsid w:val="007B1310"/>
    <w:rsid w:val="007B416D"/>
    <w:rsid w:val="007B4323"/>
    <w:rsid w:val="007B43BD"/>
    <w:rsid w:val="007D3DDE"/>
    <w:rsid w:val="007D45B8"/>
    <w:rsid w:val="007E0F9F"/>
    <w:rsid w:val="007E4CDF"/>
    <w:rsid w:val="007F2BF6"/>
    <w:rsid w:val="007F56EF"/>
    <w:rsid w:val="007F576A"/>
    <w:rsid w:val="0080028E"/>
    <w:rsid w:val="00802685"/>
    <w:rsid w:val="0080360D"/>
    <w:rsid w:val="008038F6"/>
    <w:rsid w:val="00805830"/>
    <w:rsid w:val="00805CAA"/>
    <w:rsid w:val="00807121"/>
    <w:rsid w:val="00807442"/>
    <w:rsid w:val="00812461"/>
    <w:rsid w:val="0083057D"/>
    <w:rsid w:val="0083215B"/>
    <w:rsid w:val="00842E90"/>
    <w:rsid w:val="00843968"/>
    <w:rsid w:val="00846614"/>
    <w:rsid w:val="0085080C"/>
    <w:rsid w:val="00850C52"/>
    <w:rsid w:val="00850FE5"/>
    <w:rsid w:val="00852D30"/>
    <w:rsid w:val="008628F8"/>
    <w:rsid w:val="00865C5B"/>
    <w:rsid w:val="00866325"/>
    <w:rsid w:val="00866883"/>
    <w:rsid w:val="00873454"/>
    <w:rsid w:val="00874CBC"/>
    <w:rsid w:val="00875FF4"/>
    <w:rsid w:val="008774EA"/>
    <w:rsid w:val="00877AE7"/>
    <w:rsid w:val="00884628"/>
    <w:rsid w:val="00884B9C"/>
    <w:rsid w:val="00887C05"/>
    <w:rsid w:val="00897332"/>
    <w:rsid w:val="008A2B5E"/>
    <w:rsid w:val="008A7452"/>
    <w:rsid w:val="008B0F1A"/>
    <w:rsid w:val="008B28A0"/>
    <w:rsid w:val="008C3A54"/>
    <w:rsid w:val="008D29E6"/>
    <w:rsid w:val="008D2CE7"/>
    <w:rsid w:val="008D309C"/>
    <w:rsid w:val="008D6E95"/>
    <w:rsid w:val="008E4D0C"/>
    <w:rsid w:val="008E6992"/>
    <w:rsid w:val="008F0CCB"/>
    <w:rsid w:val="008F1160"/>
    <w:rsid w:val="008F16A4"/>
    <w:rsid w:val="008F69C8"/>
    <w:rsid w:val="009050B1"/>
    <w:rsid w:val="00905D13"/>
    <w:rsid w:val="00906F9C"/>
    <w:rsid w:val="00920DD3"/>
    <w:rsid w:val="00932E22"/>
    <w:rsid w:val="0093422C"/>
    <w:rsid w:val="00941DF1"/>
    <w:rsid w:val="00943A68"/>
    <w:rsid w:val="00944B01"/>
    <w:rsid w:val="00974B23"/>
    <w:rsid w:val="00974B6A"/>
    <w:rsid w:val="009753E2"/>
    <w:rsid w:val="00975782"/>
    <w:rsid w:val="0098493D"/>
    <w:rsid w:val="00985D53"/>
    <w:rsid w:val="0098796B"/>
    <w:rsid w:val="009879C1"/>
    <w:rsid w:val="009915DC"/>
    <w:rsid w:val="00991F51"/>
    <w:rsid w:val="00993EF3"/>
    <w:rsid w:val="009A2D6F"/>
    <w:rsid w:val="009B4CE6"/>
    <w:rsid w:val="009C7FB4"/>
    <w:rsid w:val="009D075F"/>
    <w:rsid w:val="009D2978"/>
    <w:rsid w:val="009D3517"/>
    <w:rsid w:val="009D42B7"/>
    <w:rsid w:val="009D6BED"/>
    <w:rsid w:val="009E5C76"/>
    <w:rsid w:val="009F07F9"/>
    <w:rsid w:val="009F6D1A"/>
    <w:rsid w:val="00A0383F"/>
    <w:rsid w:val="00A04AB7"/>
    <w:rsid w:val="00A04CC0"/>
    <w:rsid w:val="00A04ECE"/>
    <w:rsid w:val="00A22B56"/>
    <w:rsid w:val="00A24C02"/>
    <w:rsid w:val="00A30F94"/>
    <w:rsid w:val="00A41F78"/>
    <w:rsid w:val="00A42258"/>
    <w:rsid w:val="00A50201"/>
    <w:rsid w:val="00A55675"/>
    <w:rsid w:val="00A60E4B"/>
    <w:rsid w:val="00A621F6"/>
    <w:rsid w:val="00A632F7"/>
    <w:rsid w:val="00A751B5"/>
    <w:rsid w:val="00A90311"/>
    <w:rsid w:val="00AA12FB"/>
    <w:rsid w:val="00AB165B"/>
    <w:rsid w:val="00AC2808"/>
    <w:rsid w:val="00AC45D1"/>
    <w:rsid w:val="00AC5916"/>
    <w:rsid w:val="00AD112A"/>
    <w:rsid w:val="00AD1169"/>
    <w:rsid w:val="00AD1CCA"/>
    <w:rsid w:val="00AD3344"/>
    <w:rsid w:val="00AD3CDE"/>
    <w:rsid w:val="00AD4DBB"/>
    <w:rsid w:val="00AE14FA"/>
    <w:rsid w:val="00AE2CDA"/>
    <w:rsid w:val="00AE3A7D"/>
    <w:rsid w:val="00AF0184"/>
    <w:rsid w:val="00AF1636"/>
    <w:rsid w:val="00B00F65"/>
    <w:rsid w:val="00B0342F"/>
    <w:rsid w:val="00B068B7"/>
    <w:rsid w:val="00B1468E"/>
    <w:rsid w:val="00B22D7B"/>
    <w:rsid w:val="00B264B9"/>
    <w:rsid w:val="00B27EDB"/>
    <w:rsid w:val="00B31679"/>
    <w:rsid w:val="00B37F2C"/>
    <w:rsid w:val="00B5324D"/>
    <w:rsid w:val="00B540DD"/>
    <w:rsid w:val="00B60BA5"/>
    <w:rsid w:val="00B71DFF"/>
    <w:rsid w:val="00B73CF9"/>
    <w:rsid w:val="00B9103B"/>
    <w:rsid w:val="00B9524A"/>
    <w:rsid w:val="00BA4B1E"/>
    <w:rsid w:val="00BA535D"/>
    <w:rsid w:val="00BA69EE"/>
    <w:rsid w:val="00BB0641"/>
    <w:rsid w:val="00BB5FA3"/>
    <w:rsid w:val="00BB792C"/>
    <w:rsid w:val="00BC2196"/>
    <w:rsid w:val="00BC524A"/>
    <w:rsid w:val="00BC65AF"/>
    <w:rsid w:val="00BD1E08"/>
    <w:rsid w:val="00BD5200"/>
    <w:rsid w:val="00BD778A"/>
    <w:rsid w:val="00BE764A"/>
    <w:rsid w:val="00BF1ED8"/>
    <w:rsid w:val="00BF29A5"/>
    <w:rsid w:val="00BF7E20"/>
    <w:rsid w:val="00C016FA"/>
    <w:rsid w:val="00C04314"/>
    <w:rsid w:val="00C07350"/>
    <w:rsid w:val="00C10212"/>
    <w:rsid w:val="00C144E7"/>
    <w:rsid w:val="00C178C8"/>
    <w:rsid w:val="00C23091"/>
    <w:rsid w:val="00C275B2"/>
    <w:rsid w:val="00C34433"/>
    <w:rsid w:val="00C4494F"/>
    <w:rsid w:val="00C53FD6"/>
    <w:rsid w:val="00C5673B"/>
    <w:rsid w:val="00C71805"/>
    <w:rsid w:val="00C733AB"/>
    <w:rsid w:val="00C74F93"/>
    <w:rsid w:val="00C813F5"/>
    <w:rsid w:val="00C81FC4"/>
    <w:rsid w:val="00C90877"/>
    <w:rsid w:val="00C97A7D"/>
    <w:rsid w:val="00CA00F2"/>
    <w:rsid w:val="00CA137E"/>
    <w:rsid w:val="00CA1A8E"/>
    <w:rsid w:val="00CA6922"/>
    <w:rsid w:val="00CA6F55"/>
    <w:rsid w:val="00CB1066"/>
    <w:rsid w:val="00CB152E"/>
    <w:rsid w:val="00CB2A58"/>
    <w:rsid w:val="00CB3210"/>
    <w:rsid w:val="00CB6C22"/>
    <w:rsid w:val="00CC353A"/>
    <w:rsid w:val="00CD0874"/>
    <w:rsid w:val="00CD1686"/>
    <w:rsid w:val="00CD7EBA"/>
    <w:rsid w:val="00CE05A0"/>
    <w:rsid w:val="00CE18A6"/>
    <w:rsid w:val="00CE6F52"/>
    <w:rsid w:val="00CF15F1"/>
    <w:rsid w:val="00CF4D53"/>
    <w:rsid w:val="00CF4D55"/>
    <w:rsid w:val="00CF77FF"/>
    <w:rsid w:val="00D00578"/>
    <w:rsid w:val="00D05295"/>
    <w:rsid w:val="00D1375F"/>
    <w:rsid w:val="00D1689D"/>
    <w:rsid w:val="00D170BF"/>
    <w:rsid w:val="00D21616"/>
    <w:rsid w:val="00D23B09"/>
    <w:rsid w:val="00D27B77"/>
    <w:rsid w:val="00D327AB"/>
    <w:rsid w:val="00D32F64"/>
    <w:rsid w:val="00D341DD"/>
    <w:rsid w:val="00D357BF"/>
    <w:rsid w:val="00D366E6"/>
    <w:rsid w:val="00D43F71"/>
    <w:rsid w:val="00D47B95"/>
    <w:rsid w:val="00D52104"/>
    <w:rsid w:val="00D55898"/>
    <w:rsid w:val="00D564AA"/>
    <w:rsid w:val="00D637D5"/>
    <w:rsid w:val="00D6629A"/>
    <w:rsid w:val="00D70246"/>
    <w:rsid w:val="00D76909"/>
    <w:rsid w:val="00D859D8"/>
    <w:rsid w:val="00D900DD"/>
    <w:rsid w:val="00D9323D"/>
    <w:rsid w:val="00D94352"/>
    <w:rsid w:val="00DA3173"/>
    <w:rsid w:val="00DA4F7B"/>
    <w:rsid w:val="00DA5CB6"/>
    <w:rsid w:val="00DA6B4D"/>
    <w:rsid w:val="00DA7993"/>
    <w:rsid w:val="00DB0D93"/>
    <w:rsid w:val="00DB171E"/>
    <w:rsid w:val="00DB261D"/>
    <w:rsid w:val="00DC01F7"/>
    <w:rsid w:val="00DC2BEF"/>
    <w:rsid w:val="00DD055E"/>
    <w:rsid w:val="00DD593B"/>
    <w:rsid w:val="00DE2CF1"/>
    <w:rsid w:val="00DE6707"/>
    <w:rsid w:val="00DF2192"/>
    <w:rsid w:val="00DF2F53"/>
    <w:rsid w:val="00DF557D"/>
    <w:rsid w:val="00E00784"/>
    <w:rsid w:val="00E0472B"/>
    <w:rsid w:val="00E10E02"/>
    <w:rsid w:val="00E1700D"/>
    <w:rsid w:val="00E314E1"/>
    <w:rsid w:val="00E32100"/>
    <w:rsid w:val="00E34997"/>
    <w:rsid w:val="00E35BE2"/>
    <w:rsid w:val="00E3722E"/>
    <w:rsid w:val="00E40EAA"/>
    <w:rsid w:val="00E45F1D"/>
    <w:rsid w:val="00E474BE"/>
    <w:rsid w:val="00E602AE"/>
    <w:rsid w:val="00E6660F"/>
    <w:rsid w:val="00E81AD2"/>
    <w:rsid w:val="00E9185A"/>
    <w:rsid w:val="00E93F45"/>
    <w:rsid w:val="00E96CED"/>
    <w:rsid w:val="00EA3F35"/>
    <w:rsid w:val="00EA3F9D"/>
    <w:rsid w:val="00EA495A"/>
    <w:rsid w:val="00EA7FE2"/>
    <w:rsid w:val="00EC203B"/>
    <w:rsid w:val="00EC34B1"/>
    <w:rsid w:val="00ED566F"/>
    <w:rsid w:val="00ED6A3C"/>
    <w:rsid w:val="00ED6BF1"/>
    <w:rsid w:val="00EE30E7"/>
    <w:rsid w:val="00EE48CA"/>
    <w:rsid w:val="00EF24DC"/>
    <w:rsid w:val="00EF30FA"/>
    <w:rsid w:val="00EF57AF"/>
    <w:rsid w:val="00F01679"/>
    <w:rsid w:val="00F01DBD"/>
    <w:rsid w:val="00F05786"/>
    <w:rsid w:val="00F21EA2"/>
    <w:rsid w:val="00F26F99"/>
    <w:rsid w:val="00F30CBD"/>
    <w:rsid w:val="00F32B43"/>
    <w:rsid w:val="00F37ADD"/>
    <w:rsid w:val="00F4120F"/>
    <w:rsid w:val="00F4165A"/>
    <w:rsid w:val="00F44FDE"/>
    <w:rsid w:val="00F46356"/>
    <w:rsid w:val="00F468FE"/>
    <w:rsid w:val="00F51D79"/>
    <w:rsid w:val="00F5771A"/>
    <w:rsid w:val="00F60B77"/>
    <w:rsid w:val="00F64C25"/>
    <w:rsid w:val="00F72937"/>
    <w:rsid w:val="00F75E29"/>
    <w:rsid w:val="00F779DE"/>
    <w:rsid w:val="00F84109"/>
    <w:rsid w:val="00F85133"/>
    <w:rsid w:val="00F85C27"/>
    <w:rsid w:val="00F915FB"/>
    <w:rsid w:val="00F9317F"/>
    <w:rsid w:val="00F9582A"/>
    <w:rsid w:val="00FA2E1F"/>
    <w:rsid w:val="00FA6CB3"/>
    <w:rsid w:val="00FD16EA"/>
    <w:rsid w:val="00FD64D1"/>
    <w:rsid w:val="00FF0F05"/>
    <w:rsid w:val="00FF267F"/>
    <w:rsid w:val="00FF536A"/>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B87DF"/>
  <w15:docId w15:val="{ECE850B0-0B24-4C8F-8E2C-215BDE92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E29"/>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link w:val="Heading2Char"/>
    <w:qFormat/>
    <w:pPr>
      <w:outlineLvl w:val="1"/>
    </w:pPr>
    <w:rPr>
      <w:b/>
      <w:bCs/>
      <w:sz w:val="28"/>
    </w:rPr>
  </w:style>
  <w:style w:type="paragraph" w:styleId="Heading3">
    <w:name w:val="heading 3"/>
    <w:basedOn w:val="Normal"/>
    <w:next w:val="Normal"/>
    <w:qFormat/>
    <w:pPr>
      <w:keepNext/>
      <w:outlineLvl w:val="2"/>
    </w:pPr>
    <w:rPr>
      <w:b/>
      <w:bCs/>
      <w:i/>
      <w:iCs/>
      <w:u w:val="single"/>
    </w:rPr>
  </w:style>
  <w:style w:type="paragraph" w:styleId="Heading4">
    <w:name w:val="heading 4"/>
    <w:basedOn w:val="Normal"/>
    <w:next w:val="Normal"/>
    <w:qFormat/>
    <w:pPr>
      <w:keepNext/>
      <w:jc w:val="both"/>
      <w:outlineLvl w:val="3"/>
    </w:pPr>
    <w:rPr>
      <w:b/>
      <w:bCs/>
      <w:iCs/>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both"/>
      <w:outlineLvl w:val="8"/>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sz w:val="28"/>
    </w:rPr>
  </w:style>
  <w:style w:type="paragraph" w:styleId="BodyText">
    <w:name w:val="Body Text"/>
    <w:basedOn w:val="Normal"/>
    <w:link w:val="BodyTextChar"/>
    <w:semiHidden/>
    <w:pPr>
      <w:jc w:val="both"/>
    </w:pPr>
  </w:style>
  <w:style w:type="paragraph" w:styleId="BodyText2">
    <w:name w:val="Body Text 2"/>
    <w:basedOn w:val="Normal"/>
    <w:semiHidden/>
    <w:pPr>
      <w:tabs>
        <w:tab w:val="left" w:pos="0"/>
      </w:tabs>
      <w:jc w:val="both"/>
    </w:pPr>
    <w:rPr>
      <w:b/>
      <w:bCs/>
      <w:sz w:val="28"/>
      <w:u w:val="single"/>
    </w:rPr>
  </w:style>
  <w:style w:type="paragraph" w:styleId="BodyText3">
    <w:name w:val="Body Text 3"/>
    <w:basedOn w:val="Normal"/>
    <w:semiHidden/>
    <w:pPr>
      <w:jc w:val="both"/>
    </w:pPr>
    <w:rPr>
      <w:b/>
      <w:bCs/>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aliases w:val="h,ht,ht.,*Header,*Header1,*Header2,*Header3,*Header11,*Header21,*Header4,*Header12,*Header22,(1st level)"/>
    <w:basedOn w:val="Normal"/>
    <w:link w:val="HeaderChar"/>
    <w:pPr>
      <w:tabs>
        <w:tab w:val="center" w:pos="4320"/>
        <w:tab w:val="right" w:pos="8640"/>
      </w:tabs>
    </w:pPr>
  </w:style>
  <w:style w:type="paragraph" w:styleId="TOC1">
    <w:name w:val="toc 1"/>
    <w:basedOn w:val="Normal"/>
    <w:next w:val="Normal"/>
    <w:autoRedefine/>
    <w:uiPriority w:val="39"/>
    <w:qFormat/>
    <w:rsid w:val="00001B1F"/>
    <w:pPr>
      <w:tabs>
        <w:tab w:val="right" w:leader="dot" w:pos="9624"/>
      </w:tabs>
      <w:spacing w:before="120"/>
    </w:pPr>
  </w:style>
  <w:style w:type="paragraph" w:styleId="TOC2">
    <w:name w:val="toc 2"/>
    <w:basedOn w:val="Normal"/>
    <w:next w:val="Normal"/>
    <w:autoRedefine/>
    <w:uiPriority w:val="39"/>
    <w:qFormat/>
    <w:rsid w:val="00920DD3"/>
    <w:pPr>
      <w:tabs>
        <w:tab w:val="left" w:pos="960"/>
        <w:tab w:val="right" w:leader="dot" w:pos="9624"/>
      </w:tabs>
      <w:spacing w:line="360" w:lineRule="auto"/>
      <w:ind w:left="807" w:hanging="562"/>
    </w:pPr>
  </w:style>
  <w:style w:type="paragraph" w:styleId="TOC3">
    <w:name w:val="toc 3"/>
    <w:basedOn w:val="Normal"/>
    <w:next w:val="Normal"/>
    <w:autoRedefine/>
    <w:uiPriority w:val="39"/>
    <w:qFormat/>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pPr>
      <w:ind w:left="1440" w:hanging="1440"/>
    </w:pPr>
  </w:style>
  <w:style w:type="paragraph" w:styleId="PlainText">
    <w:name w:val="Plain Text"/>
    <w:basedOn w:val="Normal"/>
    <w:link w:val="PlainTextChar"/>
    <w:rPr>
      <w:rFonts w:ascii="Courier New" w:hAnsi="Courier New"/>
      <w:sz w:val="20"/>
      <w:szCs w:val="20"/>
    </w:rPr>
  </w:style>
  <w:style w:type="paragraph" w:styleId="BodyTextIndent2">
    <w:name w:val="Body Text Indent 2"/>
    <w:basedOn w:val="Normal"/>
    <w:semiHidden/>
    <w:pPr>
      <w:ind w:left="1440"/>
    </w:pPr>
    <w:rPr>
      <w:rFonts w:ascii="Arial" w:hAnsi="Arial"/>
    </w:rPr>
  </w:style>
  <w:style w:type="paragraph" w:styleId="BodyTextIndent3">
    <w:name w:val="Body Text Indent 3"/>
    <w:basedOn w:val="Normal"/>
    <w:semiHidden/>
    <w:pPr>
      <w:ind w:left="720"/>
    </w:pPr>
    <w:rPr>
      <w:rFonts w:ascii="Arial" w:hAnsi="Arial"/>
    </w:rPr>
  </w:style>
  <w:style w:type="paragraph" w:styleId="BalloonText">
    <w:name w:val="Balloon Text"/>
    <w:basedOn w:val="Normal"/>
    <w:link w:val="BalloonTextChar"/>
    <w:uiPriority w:val="99"/>
    <w:semiHidden/>
    <w:unhideWhenUsed/>
    <w:rsid w:val="00E34997"/>
    <w:rPr>
      <w:rFonts w:ascii="Tahoma" w:hAnsi="Tahoma" w:cs="Tahoma"/>
      <w:sz w:val="16"/>
      <w:szCs w:val="16"/>
    </w:rPr>
  </w:style>
  <w:style w:type="character" w:customStyle="1" w:styleId="BalloonTextChar">
    <w:name w:val="Balloon Text Char"/>
    <w:basedOn w:val="DefaultParagraphFont"/>
    <w:link w:val="BalloonText"/>
    <w:uiPriority w:val="99"/>
    <w:semiHidden/>
    <w:rsid w:val="00E34997"/>
    <w:rPr>
      <w:rFonts w:ascii="Tahoma" w:hAnsi="Tahoma" w:cs="Tahoma"/>
      <w:sz w:val="16"/>
      <w:szCs w:val="16"/>
    </w:rPr>
  </w:style>
  <w:style w:type="character" w:customStyle="1" w:styleId="BodyTextIndentChar">
    <w:name w:val="Body Text Indent Char"/>
    <w:basedOn w:val="DefaultParagraphFont"/>
    <w:link w:val="BodyTextIndent"/>
    <w:rsid w:val="00550518"/>
    <w:rPr>
      <w:sz w:val="24"/>
      <w:szCs w:val="24"/>
    </w:rPr>
  </w:style>
  <w:style w:type="character" w:customStyle="1" w:styleId="HeaderChar">
    <w:name w:val="Header Char"/>
    <w:aliases w:val="h Char,ht Char,ht. Char,*Header Char,*Header1 Char,*Header2 Char,*Header3 Char,*Header11 Char,*Header21 Char,*Header4 Char,*Header12 Char,*Header22 Char,(1st level) Char"/>
    <w:basedOn w:val="DefaultParagraphFont"/>
    <w:link w:val="Header"/>
    <w:rsid w:val="00550518"/>
    <w:rPr>
      <w:sz w:val="24"/>
      <w:szCs w:val="24"/>
    </w:rPr>
  </w:style>
  <w:style w:type="character" w:customStyle="1" w:styleId="PlainTextChar">
    <w:name w:val="Plain Text Char"/>
    <w:basedOn w:val="DefaultParagraphFont"/>
    <w:link w:val="PlainText"/>
    <w:rsid w:val="00550518"/>
    <w:rPr>
      <w:rFonts w:ascii="Courier New" w:hAnsi="Courier New"/>
    </w:rPr>
  </w:style>
  <w:style w:type="paragraph" w:styleId="Subtitle">
    <w:name w:val="Subtitle"/>
    <w:basedOn w:val="Normal"/>
    <w:link w:val="SubtitleChar"/>
    <w:qFormat/>
    <w:rsid w:val="00550518"/>
    <w:pPr>
      <w:jc w:val="center"/>
    </w:pPr>
    <w:rPr>
      <w:rFonts w:ascii="Arial Black" w:hAnsi="Arial Black"/>
      <w:sz w:val="28"/>
    </w:rPr>
  </w:style>
  <w:style w:type="character" w:customStyle="1" w:styleId="SubtitleChar">
    <w:name w:val="Subtitle Char"/>
    <w:basedOn w:val="DefaultParagraphFont"/>
    <w:link w:val="Subtitle"/>
    <w:rsid w:val="00550518"/>
    <w:rPr>
      <w:rFonts w:ascii="Arial Black" w:hAnsi="Arial Black"/>
      <w:sz w:val="28"/>
      <w:szCs w:val="24"/>
    </w:rPr>
  </w:style>
  <w:style w:type="character" w:customStyle="1" w:styleId="BodyTextChar">
    <w:name w:val="Body Text Char"/>
    <w:basedOn w:val="DefaultParagraphFont"/>
    <w:link w:val="BodyText"/>
    <w:semiHidden/>
    <w:rsid w:val="002A0ACA"/>
    <w:rPr>
      <w:sz w:val="24"/>
      <w:szCs w:val="24"/>
    </w:rPr>
  </w:style>
  <w:style w:type="paragraph" w:styleId="ListParagraph">
    <w:name w:val="List Paragraph"/>
    <w:basedOn w:val="Normal"/>
    <w:uiPriority w:val="34"/>
    <w:qFormat/>
    <w:rsid w:val="00E10E02"/>
    <w:pPr>
      <w:ind w:left="720"/>
    </w:pPr>
  </w:style>
  <w:style w:type="character" w:styleId="CommentReference">
    <w:name w:val="annotation reference"/>
    <w:basedOn w:val="DefaultParagraphFont"/>
    <w:uiPriority w:val="99"/>
    <w:semiHidden/>
    <w:unhideWhenUsed/>
    <w:rsid w:val="00DB171E"/>
    <w:rPr>
      <w:sz w:val="16"/>
      <w:szCs w:val="16"/>
    </w:rPr>
  </w:style>
  <w:style w:type="paragraph" w:styleId="CommentText">
    <w:name w:val="annotation text"/>
    <w:basedOn w:val="Normal"/>
    <w:link w:val="CommentTextChar"/>
    <w:uiPriority w:val="99"/>
    <w:unhideWhenUsed/>
    <w:rsid w:val="00DB171E"/>
    <w:rPr>
      <w:sz w:val="20"/>
      <w:szCs w:val="20"/>
    </w:rPr>
  </w:style>
  <w:style w:type="character" w:customStyle="1" w:styleId="CommentTextChar">
    <w:name w:val="Comment Text Char"/>
    <w:basedOn w:val="DefaultParagraphFont"/>
    <w:link w:val="CommentText"/>
    <w:uiPriority w:val="99"/>
    <w:rsid w:val="00DB171E"/>
  </w:style>
  <w:style w:type="paragraph" w:styleId="CommentSubject">
    <w:name w:val="annotation subject"/>
    <w:basedOn w:val="CommentText"/>
    <w:next w:val="CommentText"/>
    <w:link w:val="CommentSubjectChar"/>
    <w:uiPriority w:val="99"/>
    <w:semiHidden/>
    <w:unhideWhenUsed/>
    <w:rsid w:val="00DB171E"/>
    <w:rPr>
      <w:b/>
      <w:bCs/>
    </w:rPr>
  </w:style>
  <w:style w:type="character" w:customStyle="1" w:styleId="CommentSubjectChar">
    <w:name w:val="Comment Subject Char"/>
    <w:basedOn w:val="CommentTextChar"/>
    <w:link w:val="CommentSubject"/>
    <w:uiPriority w:val="99"/>
    <w:semiHidden/>
    <w:rsid w:val="00DB171E"/>
    <w:rPr>
      <w:b/>
      <w:bCs/>
    </w:rPr>
  </w:style>
  <w:style w:type="paragraph" w:styleId="TOCHeading">
    <w:name w:val="TOC Heading"/>
    <w:basedOn w:val="Heading1"/>
    <w:next w:val="Normal"/>
    <w:uiPriority w:val="39"/>
    <w:unhideWhenUsed/>
    <w:qFormat/>
    <w:rsid w:val="00046B44"/>
    <w:pPr>
      <w:keepLines/>
      <w:spacing w:before="480" w:line="276" w:lineRule="auto"/>
      <w:outlineLvl w:val="9"/>
    </w:pPr>
    <w:rPr>
      <w:rFonts w:ascii="Cambria" w:hAnsi="Cambria"/>
      <w:color w:val="365F91"/>
      <w:sz w:val="28"/>
      <w:szCs w:val="28"/>
    </w:rPr>
  </w:style>
  <w:style w:type="paragraph" w:styleId="NoSpacing">
    <w:name w:val="No Spacing"/>
    <w:basedOn w:val="Normal"/>
    <w:uiPriority w:val="1"/>
    <w:qFormat/>
    <w:rsid w:val="00F01679"/>
    <w:pPr>
      <w:widowControl w:val="0"/>
      <w:kinsoku w:val="0"/>
      <w:overflowPunct w:val="0"/>
      <w:spacing w:after="240"/>
      <w:ind w:left="720"/>
      <w:jc w:val="both"/>
      <w:textAlignment w:val="baseline"/>
    </w:pPr>
    <w:rPr>
      <w:rFonts w:eastAsiaTheme="minorHAnsi" w:cstheme="minorBidi"/>
    </w:rPr>
  </w:style>
  <w:style w:type="paragraph" w:customStyle="1" w:styleId="Indent">
    <w:name w:val="Indent"/>
    <w:basedOn w:val="NoSpacing"/>
    <w:qFormat/>
    <w:rsid w:val="00F01679"/>
    <w:pPr>
      <w:spacing w:before="120"/>
      <w:ind w:left="547"/>
    </w:pPr>
  </w:style>
  <w:style w:type="character" w:customStyle="1" w:styleId="FooterChar">
    <w:name w:val="Footer Char"/>
    <w:basedOn w:val="DefaultParagraphFont"/>
    <w:link w:val="Footer"/>
    <w:uiPriority w:val="99"/>
    <w:rsid w:val="00BE764A"/>
    <w:rPr>
      <w:sz w:val="24"/>
      <w:szCs w:val="24"/>
    </w:rPr>
  </w:style>
  <w:style w:type="paragraph" w:customStyle="1" w:styleId="NumList1">
    <w:name w:val="NumList1"/>
    <w:basedOn w:val="Normal"/>
    <w:qFormat/>
    <w:rsid w:val="00007A03"/>
    <w:pPr>
      <w:widowControl w:val="0"/>
      <w:numPr>
        <w:numId w:val="3"/>
      </w:numPr>
      <w:tabs>
        <w:tab w:val="left" w:pos="1080"/>
      </w:tabs>
      <w:kinsoku w:val="0"/>
      <w:overflowPunct w:val="0"/>
      <w:spacing w:before="240" w:after="240"/>
      <w:jc w:val="both"/>
      <w:textAlignment w:val="baseline"/>
    </w:pPr>
    <w:rPr>
      <w:rFonts w:eastAsiaTheme="minorHAnsi" w:cstheme="minorBidi"/>
    </w:rPr>
  </w:style>
  <w:style w:type="paragraph" w:styleId="ListNumber5">
    <w:name w:val="List Number 5"/>
    <w:basedOn w:val="Normal"/>
    <w:uiPriority w:val="99"/>
    <w:unhideWhenUsed/>
    <w:rsid w:val="00007A03"/>
    <w:pPr>
      <w:widowControl w:val="0"/>
      <w:kinsoku w:val="0"/>
      <w:overflowPunct w:val="0"/>
      <w:spacing w:before="120" w:after="120"/>
      <w:jc w:val="both"/>
      <w:textAlignment w:val="baseline"/>
    </w:pPr>
    <w:rPr>
      <w:rFonts w:eastAsiaTheme="minorHAnsi" w:cstheme="minorBidi"/>
    </w:rPr>
  </w:style>
  <w:style w:type="table" w:styleId="TableGrid">
    <w:name w:val="Table Grid"/>
    <w:basedOn w:val="TableNormal"/>
    <w:uiPriority w:val="59"/>
    <w:rsid w:val="00DA79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99"/>
    <w:rsid w:val="00DA7993"/>
    <w:rPr>
      <w:b/>
      <w:bCs/>
      <w:sz w:val="28"/>
      <w:szCs w:val="24"/>
    </w:rPr>
  </w:style>
  <w:style w:type="paragraph" w:styleId="ListNumber">
    <w:name w:val="List Number"/>
    <w:basedOn w:val="Normal"/>
    <w:uiPriority w:val="99"/>
    <w:unhideWhenUsed/>
    <w:rsid w:val="005B560A"/>
    <w:pPr>
      <w:numPr>
        <w:numId w:val="7"/>
      </w:numPr>
      <w:contextualSpacing/>
    </w:pPr>
  </w:style>
  <w:style w:type="character" w:customStyle="1" w:styleId="Heading2Char">
    <w:name w:val="Heading 2 Char"/>
    <w:basedOn w:val="DefaultParagraphFont"/>
    <w:link w:val="Heading2"/>
    <w:rsid w:val="008B0F1A"/>
    <w:rPr>
      <w:b/>
      <w:bCs/>
      <w:sz w:val="28"/>
      <w:szCs w:val="24"/>
    </w:rPr>
  </w:style>
  <w:style w:type="paragraph" w:styleId="ListNumber2">
    <w:name w:val="List Number 2"/>
    <w:basedOn w:val="Normal"/>
    <w:uiPriority w:val="99"/>
    <w:unhideWhenUsed/>
    <w:rsid w:val="00182839"/>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36010">
      <w:bodyDiv w:val="1"/>
      <w:marLeft w:val="0"/>
      <w:marRight w:val="0"/>
      <w:marTop w:val="0"/>
      <w:marBottom w:val="0"/>
      <w:divBdr>
        <w:top w:val="none" w:sz="0" w:space="0" w:color="auto"/>
        <w:left w:val="none" w:sz="0" w:space="0" w:color="auto"/>
        <w:bottom w:val="none" w:sz="0" w:space="0" w:color="auto"/>
        <w:right w:val="none" w:sz="0" w:space="0" w:color="auto"/>
      </w:divBdr>
    </w:div>
    <w:div w:id="7691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fa.ms.gov/bid-rfp-notices/" TargetMode="External"/><Relationship Id="rId18" Type="http://schemas.openxmlformats.org/officeDocument/2006/relationships/hyperlink" Target="http://www.dfa.ms.gov/dfa-offices/personal-service-contract-review/pscrb-rul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fa.ms.gov/dfa-offices/personal-service-contract-review/pscrb-rules-regulations/" TargetMode="External"/><Relationship Id="rId17" Type="http://schemas.openxmlformats.org/officeDocument/2006/relationships/hyperlink" Target="http://www.dfa.ms.gov/bid-rfp-notices/" TargetMode="External"/><Relationship Id="rId2" Type="http://schemas.openxmlformats.org/officeDocument/2006/relationships/numbering" Target="numbering.xml"/><Relationship Id="rId16" Type="http://schemas.openxmlformats.org/officeDocument/2006/relationships/hyperlink" Target="http://www.dfa.ms.gov/bid-rfp-not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suranceRFP@dfa.ms.gov"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suranceRFP@dfa.ms.gov" TargetMode="External"/><Relationship Id="rId14" Type="http://schemas.openxmlformats.org/officeDocument/2006/relationships/hyperlink" Target="mailto:InsuranceRFP@dfa.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717D-D8E7-401F-95A7-11578D16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9701</Words>
  <Characters>56596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STATE OF MISSISSIPPI</vt:lpstr>
    </vt:vector>
  </TitlesOfParts>
  <Company>State of Mississippi</Company>
  <LinksUpToDate>false</LinksUpToDate>
  <CharactersWithSpaces>66165</CharactersWithSpaces>
  <SharedDoc>false</SharedDoc>
  <HLinks>
    <vt:vector size="120" baseType="variant">
      <vt:variant>
        <vt:i4>8192038</vt:i4>
      </vt:variant>
      <vt:variant>
        <vt:i4>105</vt:i4>
      </vt:variant>
      <vt:variant>
        <vt:i4>0</vt:i4>
      </vt:variant>
      <vt:variant>
        <vt:i4>5</vt:i4>
      </vt:variant>
      <vt:variant>
        <vt:lpwstr>http://www.spb.state.ms.us/</vt:lpwstr>
      </vt:variant>
      <vt:variant>
        <vt:lpwstr/>
      </vt:variant>
      <vt:variant>
        <vt:i4>6881328</vt:i4>
      </vt:variant>
      <vt:variant>
        <vt:i4>102</vt:i4>
      </vt:variant>
      <vt:variant>
        <vt:i4>0</vt:i4>
      </vt:variant>
      <vt:variant>
        <vt:i4>5</vt:i4>
      </vt:variant>
      <vt:variant>
        <vt:lpwstr>http://www.dfa.state.ms.us/</vt:lpwstr>
      </vt:variant>
      <vt:variant>
        <vt:lpwstr/>
      </vt:variant>
      <vt:variant>
        <vt:i4>6881328</vt:i4>
      </vt:variant>
      <vt:variant>
        <vt:i4>99</vt:i4>
      </vt:variant>
      <vt:variant>
        <vt:i4>0</vt:i4>
      </vt:variant>
      <vt:variant>
        <vt:i4>5</vt:i4>
      </vt:variant>
      <vt:variant>
        <vt:lpwstr>http://www.dfa.state.ms.us/</vt:lpwstr>
      </vt:variant>
      <vt:variant>
        <vt:lpwstr/>
      </vt:variant>
      <vt:variant>
        <vt:i4>5636201</vt:i4>
      </vt:variant>
      <vt:variant>
        <vt:i4>96</vt:i4>
      </vt:variant>
      <vt:variant>
        <vt:i4>0</vt:i4>
      </vt:variant>
      <vt:variant>
        <vt:i4>5</vt:i4>
      </vt:variant>
      <vt:variant>
        <vt:lpwstr>mailto:mays@dfa.state.ms.us</vt:lpwstr>
      </vt:variant>
      <vt:variant>
        <vt:lpwstr/>
      </vt:variant>
      <vt:variant>
        <vt:i4>5636201</vt:i4>
      </vt:variant>
      <vt:variant>
        <vt:i4>93</vt:i4>
      </vt:variant>
      <vt:variant>
        <vt:i4>0</vt:i4>
      </vt:variant>
      <vt:variant>
        <vt:i4>5</vt:i4>
      </vt:variant>
      <vt:variant>
        <vt:lpwstr>mailto:mays@dfa.state.ms.us</vt:lpwstr>
      </vt:variant>
      <vt:variant>
        <vt:lpwstr/>
      </vt:variant>
      <vt:variant>
        <vt:i4>1835067</vt:i4>
      </vt:variant>
      <vt:variant>
        <vt:i4>86</vt:i4>
      </vt:variant>
      <vt:variant>
        <vt:i4>0</vt:i4>
      </vt:variant>
      <vt:variant>
        <vt:i4>5</vt:i4>
      </vt:variant>
      <vt:variant>
        <vt:lpwstr/>
      </vt:variant>
      <vt:variant>
        <vt:lpwstr>_Toc193097051</vt:lpwstr>
      </vt:variant>
      <vt:variant>
        <vt:i4>1835067</vt:i4>
      </vt:variant>
      <vt:variant>
        <vt:i4>80</vt:i4>
      </vt:variant>
      <vt:variant>
        <vt:i4>0</vt:i4>
      </vt:variant>
      <vt:variant>
        <vt:i4>5</vt:i4>
      </vt:variant>
      <vt:variant>
        <vt:lpwstr/>
      </vt:variant>
      <vt:variant>
        <vt:lpwstr>_Toc193097050</vt:lpwstr>
      </vt:variant>
      <vt:variant>
        <vt:i4>1900603</vt:i4>
      </vt:variant>
      <vt:variant>
        <vt:i4>74</vt:i4>
      </vt:variant>
      <vt:variant>
        <vt:i4>0</vt:i4>
      </vt:variant>
      <vt:variant>
        <vt:i4>5</vt:i4>
      </vt:variant>
      <vt:variant>
        <vt:lpwstr/>
      </vt:variant>
      <vt:variant>
        <vt:lpwstr>_Toc193097049</vt:lpwstr>
      </vt:variant>
      <vt:variant>
        <vt:i4>1900603</vt:i4>
      </vt:variant>
      <vt:variant>
        <vt:i4>68</vt:i4>
      </vt:variant>
      <vt:variant>
        <vt:i4>0</vt:i4>
      </vt:variant>
      <vt:variant>
        <vt:i4>5</vt:i4>
      </vt:variant>
      <vt:variant>
        <vt:lpwstr/>
      </vt:variant>
      <vt:variant>
        <vt:lpwstr>_Toc193097048</vt:lpwstr>
      </vt:variant>
      <vt:variant>
        <vt:i4>1900603</vt:i4>
      </vt:variant>
      <vt:variant>
        <vt:i4>62</vt:i4>
      </vt:variant>
      <vt:variant>
        <vt:i4>0</vt:i4>
      </vt:variant>
      <vt:variant>
        <vt:i4>5</vt:i4>
      </vt:variant>
      <vt:variant>
        <vt:lpwstr/>
      </vt:variant>
      <vt:variant>
        <vt:lpwstr>_Toc193097047</vt:lpwstr>
      </vt:variant>
      <vt:variant>
        <vt:i4>1900603</vt:i4>
      </vt:variant>
      <vt:variant>
        <vt:i4>56</vt:i4>
      </vt:variant>
      <vt:variant>
        <vt:i4>0</vt:i4>
      </vt:variant>
      <vt:variant>
        <vt:i4>5</vt:i4>
      </vt:variant>
      <vt:variant>
        <vt:lpwstr/>
      </vt:variant>
      <vt:variant>
        <vt:lpwstr>_Toc193097046</vt:lpwstr>
      </vt:variant>
      <vt:variant>
        <vt:i4>1900603</vt:i4>
      </vt:variant>
      <vt:variant>
        <vt:i4>50</vt:i4>
      </vt:variant>
      <vt:variant>
        <vt:i4>0</vt:i4>
      </vt:variant>
      <vt:variant>
        <vt:i4>5</vt:i4>
      </vt:variant>
      <vt:variant>
        <vt:lpwstr/>
      </vt:variant>
      <vt:variant>
        <vt:lpwstr>_Toc193097045</vt:lpwstr>
      </vt:variant>
      <vt:variant>
        <vt:i4>1900603</vt:i4>
      </vt:variant>
      <vt:variant>
        <vt:i4>44</vt:i4>
      </vt:variant>
      <vt:variant>
        <vt:i4>0</vt:i4>
      </vt:variant>
      <vt:variant>
        <vt:i4>5</vt:i4>
      </vt:variant>
      <vt:variant>
        <vt:lpwstr/>
      </vt:variant>
      <vt:variant>
        <vt:lpwstr>_Toc193097044</vt:lpwstr>
      </vt:variant>
      <vt:variant>
        <vt:i4>1900603</vt:i4>
      </vt:variant>
      <vt:variant>
        <vt:i4>38</vt:i4>
      </vt:variant>
      <vt:variant>
        <vt:i4>0</vt:i4>
      </vt:variant>
      <vt:variant>
        <vt:i4>5</vt:i4>
      </vt:variant>
      <vt:variant>
        <vt:lpwstr/>
      </vt:variant>
      <vt:variant>
        <vt:lpwstr>_Toc193097043</vt:lpwstr>
      </vt:variant>
      <vt:variant>
        <vt:i4>1900603</vt:i4>
      </vt:variant>
      <vt:variant>
        <vt:i4>32</vt:i4>
      </vt:variant>
      <vt:variant>
        <vt:i4>0</vt:i4>
      </vt:variant>
      <vt:variant>
        <vt:i4>5</vt:i4>
      </vt:variant>
      <vt:variant>
        <vt:lpwstr/>
      </vt:variant>
      <vt:variant>
        <vt:lpwstr>_Toc193097042</vt:lpwstr>
      </vt:variant>
      <vt:variant>
        <vt:i4>1900603</vt:i4>
      </vt:variant>
      <vt:variant>
        <vt:i4>26</vt:i4>
      </vt:variant>
      <vt:variant>
        <vt:i4>0</vt:i4>
      </vt:variant>
      <vt:variant>
        <vt:i4>5</vt:i4>
      </vt:variant>
      <vt:variant>
        <vt:lpwstr/>
      </vt:variant>
      <vt:variant>
        <vt:lpwstr>_Toc193097041</vt:lpwstr>
      </vt:variant>
      <vt:variant>
        <vt:i4>1703995</vt:i4>
      </vt:variant>
      <vt:variant>
        <vt:i4>20</vt:i4>
      </vt:variant>
      <vt:variant>
        <vt:i4>0</vt:i4>
      </vt:variant>
      <vt:variant>
        <vt:i4>5</vt:i4>
      </vt:variant>
      <vt:variant>
        <vt:lpwstr/>
      </vt:variant>
      <vt:variant>
        <vt:lpwstr>_Toc193097035</vt:lpwstr>
      </vt:variant>
      <vt:variant>
        <vt:i4>1703995</vt:i4>
      </vt:variant>
      <vt:variant>
        <vt:i4>14</vt:i4>
      </vt:variant>
      <vt:variant>
        <vt:i4>0</vt:i4>
      </vt:variant>
      <vt:variant>
        <vt:i4>5</vt:i4>
      </vt:variant>
      <vt:variant>
        <vt:lpwstr/>
      </vt:variant>
      <vt:variant>
        <vt:lpwstr>_Toc193097034</vt:lpwstr>
      </vt:variant>
      <vt:variant>
        <vt:i4>1703995</vt:i4>
      </vt:variant>
      <vt:variant>
        <vt:i4>8</vt:i4>
      </vt:variant>
      <vt:variant>
        <vt:i4>0</vt:i4>
      </vt:variant>
      <vt:variant>
        <vt:i4>5</vt:i4>
      </vt:variant>
      <vt:variant>
        <vt:lpwstr/>
      </vt:variant>
      <vt:variant>
        <vt:lpwstr>_Toc193097030</vt:lpwstr>
      </vt:variant>
      <vt:variant>
        <vt:i4>1769531</vt:i4>
      </vt:variant>
      <vt:variant>
        <vt:i4>2</vt:i4>
      </vt:variant>
      <vt:variant>
        <vt:i4>0</vt:i4>
      </vt:variant>
      <vt:variant>
        <vt:i4>5</vt:i4>
      </vt:variant>
      <vt:variant>
        <vt:lpwstr/>
      </vt:variant>
      <vt:variant>
        <vt:lpwstr>_Toc193097029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MISSISSIPPI</dc:title>
  <dc:subject/>
  <dc:creator>OFFICE OF INSURANCE</dc:creator>
  <cp:keywords/>
  <dc:description/>
  <cp:lastModifiedBy>Terri Ashley</cp:lastModifiedBy>
  <cp:revision>3</cp:revision>
  <cp:lastPrinted>2019-03-13T13:52:00Z</cp:lastPrinted>
  <dcterms:created xsi:type="dcterms:W3CDTF">2019-03-13T14:36:00Z</dcterms:created>
  <dcterms:modified xsi:type="dcterms:W3CDTF">2019-03-13T15:04:00Z</dcterms:modified>
</cp:coreProperties>
</file>