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AD" w:rsidRDefault="00597AAD" w:rsidP="00597AAD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REQUEST FOR PROPOSALS FOR</w:t>
      </w:r>
    </w:p>
    <w:p w:rsidR="00597AAD" w:rsidRDefault="00597AAD" w:rsidP="00597A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WORKFORCE AVAILABILITY AND WAGE STUDY</w:t>
      </w:r>
    </w:p>
    <w:p w:rsidR="00597AAD" w:rsidRDefault="00597AAD" w:rsidP="00597AAD">
      <w:pPr>
        <w:jc w:val="center"/>
        <w:rPr>
          <w:b/>
          <w:bCs/>
          <w:sz w:val="28"/>
          <w:szCs w:val="28"/>
        </w:rPr>
      </w:pPr>
    </w:p>
    <w:p w:rsidR="00597AAD" w:rsidRDefault="00597AAD" w:rsidP="00597A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TAP ALLIANCE:  Tishomingo, Alcorn, and Prentiss Counties, Mississippi, USA</w:t>
      </w:r>
    </w:p>
    <w:p w:rsidR="00597AAD" w:rsidRDefault="00597AAD" w:rsidP="00597AAD">
      <w:pPr>
        <w:jc w:val="both"/>
        <w:rPr>
          <w:sz w:val="28"/>
          <w:szCs w:val="28"/>
        </w:rPr>
      </w:pPr>
    </w:p>
    <w:p w:rsidR="00597AAD" w:rsidRDefault="00597AAD" w:rsidP="00597A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TAP Alliance requests proposals for a workforce study for the TAP Alliance region in Northeast Mississippi.   The study would include parts of surrounding counties in Mississippi, Alabama, and Tennessee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97A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study should include, but not be limited to, the following: 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97AA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Manufacturing sectors, employment, percent, and average annual wages;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97AA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and skills, especially transferrable skills, in the unemployed and underemployed workforce;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97AA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Estimates of the number and skills, especially transferrable skills, of employed persons willing to consider changing jobs;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97AA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Ratings of employed workers by major employers in the TAP Alliance region by worker productivity, reliability, </w:t>
      </w:r>
      <w:r>
        <w:rPr>
          <w:b/>
          <w:bCs/>
          <w:sz w:val="28"/>
          <w:szCs w:val="28"/>
        </w:rPr>
        <w:lastRenderedPageBreak/>
        <w:t>attitudes, teamwork skills, and reading, writing, and calculations competency compared to national averages; and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97AA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Identify gaps in workforce skills and secondary and community college training programs.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7B2D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proposals must be submitted in a sealed envelope marked with the following language: “Proposal for Workforce Availability and Wage Study.” Proposals will be evaluated on the following factors: Prior Experience in Workforce Studies (30 Points), Organization Size and Structure of Proposer’s Firm (10 Points), Capacity (15 Points), Proposer’s Understanding of Work to be </w:t>
      </w:r>
      <w:proofErr w:type="gramStart"/>
      <w:r w:rsidR="007B2DE3">
        <w:rPr>
          <w:b/>
          <w:bCs/>
          <w:sz w:val="28"/>
          <w:szCs w:val="28"/>
        </w:rPr>
        <w:t>Performed</w:t>
      </w:r>
      <w:proofErr w:type="gramEnd"/>
      <w:r>
        <w:rPr>
          <w:b/>
          <w:bCs/>
          <w:sz w:val="28"/>
          <w:szCs w:val="28"/>
        </w:rPr>
        <w:t xml:space="preserve"> and Time Estimates Presented (20 Points), Price (25 Points). To be evaluated properly, the following must be addressed in detail:</w:t>
      </w:r>
    </w:p>
    <w:p w:rsidR="00597AAD" w:rsidRDefault="00597AAD" w:rsidP="00597AAD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Prior experiences in workforce studies </w:t>
      </w:r>
    </w:p>
    <w:p w:rsidR="00597AAD" w:rsidRDefault="00597AAD" w:rsidP="00597AAD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Studies for federal agencies</w:t>
      </w:r>
    </w:p>
    <w:p w:rsidR="00597AAD" w:rsidRDefault="00597AAD" w:rsidP="00597AAD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Studies for state</w:t>
      </w:r>
      <w:r w:rsidR="005F3E2D">
        <w:rPr>
          <w:b/>
          <w:bCs/>
          <w:sz w:val="28"/>
          <w:szCs w:val="28"/>
        </w:rPr>
        <w:t>, county, or local government</w:t>
      </w:r>
    </w:p>
    <w:p w:rsidR="005F3E2D" w:rsidRDefault="005F3E2D" w:rsidP="00597AAD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Studies for non-profit organizations, i.e. community action agencies, planning and development districts, other non-profit groups.</w:t>
      </w:r>
    </w:p>
    <w:p w:rsidR="005F3E2D" w:rsidRDefault="005F3E2D" w:rsidP="005F3E2D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 in workforce studies (list organizations)</w:t>
      </w:r>
    </w:p>
    <w:p w:rsidR="005F3E2D" w:rsidRDefault="00B131D3" w:rsidP="005F3E2D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 size and structure of Proposer’s firm. (Considering size in relation to the work to be performed and the report delivery date.)</w:t>
      </w:r>
    </w:p>
    <w:p w:rsidR="00B131D3" w:rsidRDefault="00B131D3" w:rsidP="005F3E2D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Qualification of staff to be assigned to the study. This will be determined from resumes submitted.  Education, position in firm, years and types of experience will be considered.</w:t>
      </w:r>
    </w:p>
    <w:p w:rsidR="00B131D3" w:rsidRDefault="00B131D3" w:rsidP="005F3E2D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Proposer’s understanding of work to be performed and time estimates presented.</w:t>
      </w:r>
    </w:p>
    <w:p w:rsidR="00B131D3" w:rsidRDefault="00B131D3" w:rsidP="00B131D3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approach to the study and the methods to be used to achieve data collection.</w:t>
      </w:r>
    </w:p>
    <w:p w:rsidR="00B131D3" w:rsidRDefault="00B131D3" w:rsidP="00B131D3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Realistic time estimates of the study</w:t>
      </w:r>
    </w:p>
    <w:p w:rsidR="00B131D3" w:rsidRDefault="00B131D3" w:rsidP="00B131D3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Price</w:t>
      </w:r>
    </w:p>
    <w:p w:rsidR="00B131D3" w:rsidRPr="00B131D3" w:rsidRDefault="00B131D3" w:rsidP="00B131D3">
      <w:pPr>
        <w:pStyle w:val="ListParagraph"/>
        <w:jc w:val="both"/>
        <w:rPr>
          <w:b/>
          <w:bCs/>
          <w:sz w:val="28"/>
          <w:szCs w:val="28"/>
        </w:rPr>
      </w:pPr>
    </w:p>
    <w:p w:rsidR="00597AAD" w:rsidRDefault="00597AAD" w:rsidP="00597A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Submit hard copy proposals to Sharon Gardner, Executive Director, Northeast Mississippi Planning and Development District, Post Office Box 600,</w:t>
      </w:r>
      <w:r w:rsidR="005F7E3B">
        <w:rPr>
          <w:b/>
          <w:bCs/>
          <w:sz w:val="28"/>
          <w:szCs w:val="28"/>
        </w:rPr>
        <w:t xml:space="preserve"> (619 E. Parker Drive),</w:t>
      </w:r>
      <w:r>
        <w:rPr>
          <w:b/>
          <w:bCs/>
          <w:sz w:val="28"/>
          <w:szCs w:val="28"/>
        </w:rPr>
        <w:t xml:space="preserve"> Booneville, Mississippi 38829, USA.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 xml:space="preserve">For more information contact Jamie McCoy at 662-728-6248 or </w:t>
      </w:r>
      <w:hyperlink r:id="rId5" w:history="1">
        <w:r>
          <w:rPr>
            <w:rStyle w:val="Hyperlink"/>
            <w:b/>
            <w:bCs/>
            <w:sz w:val="28"/>
            <w:szCs w:val="28"/>
          </w:rPr>
          <w:t>jmccoy@nempdd.com</w:t>
        </w:r>
      </w:hyperlink>
      <w:r>
        <w:rPr>
          <w:b/>
          <w:bCs/>
          <w:sz w:val="28"/>
          <w:szCs w:val="28"/>
        </w:rPr>
        <w:t>.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F7E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project is partly funded by the Appalachian Regional Commission and is subject to competitive bidding.   The completed study is due no later than </w:t>
      </w:r>
      <w:r w:rsidR="005F7E3B">
        <w:rPr>
          <w:b/>
          <w:bCs/>
          <w:sz w:val="28"/>
          <w:szCs w:val="28"/>
        </w:rPr>
        <w:t>November 1</w:t>
      </w:r>
      <w:r>
        <w:rPr>
          <w:b/>
          <w:bCs/>
          <w:sz w:val="28"/>
          <w:szCs w:val="28"/>
        </w:rPr>
        <w:t>, 2017.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97A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can learn more about the TAP Alliance at </w:t>
      </w:r>
      <w:hyperlink r:id="rId6" w:history="1">
        <w:r>
          <w:rPr>
            <w:rStyle w:val="Hyperlink"/>
            <w:b/>
            <w:bCs/>
            <w:sz w:val="28"/>
            <w:szCs w:val="28"/>
          </w:rPr>
          <w:t>www.tapintoindustry.com</w:t>
        </w:r>
      </w:hyperlink>
      <w:r>
        <w:rPr>
          <w:b/>
          <w:bCs/>
          <w:sz w:val="28"/>
          <w:szCs w:val="28"/>
        </w:rPr>
        <w:t>.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97A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TAP Alliance reserves the right to reject any and all proposals or to negotiate in the best interests of the TAP Alliance. </w:t>
      </w:r>
    </w:p>
    <w:p w:rsidR="00597AAD" w:rsidRDefault="00597AAD" w:rsidP="00597AAD">
      <w:pPr>
        <w:jc w:val="both"/>
        <w:rPr>
          <w:b/>
          <w:bCs/>
          <w:sz w:val="28"/>
          <w:szCs w:val="28"/>
        </w:rPr>
      </w:pPr>
    </w:p>
    <w:p w:rsidR="00597AAD" w:rsidRDefault="00597AAD" w:rsidP="005F7E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Deadline for proposals is </w:t>
      </w:r>
      <w:r w:rsidR="005114F9">
        <w:rPr>
          <w:b/>
          <w:bCs/>
          <w:sz w:val="28"/>
          <w:szCs w:val="28"/>
        </w:rPr>
        <w:t>4:</w:t>
      </w:r>
      <w:r w:rsidR="005F7E3B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PM, </w:t>
      </w:r>
      <w:r w:rsidRPr="005F7E3B">
        <w:rPr>
          <w:b/>
          <w:bCs/>
          <w:sz w:val="28"/>
          <w:szCs w:val="28"/>
        </w:rPr>
        <w:t xml:space="preserve">February </w:t>
      </w:r>
      <w:r w:rsidR="005F7E3B">
        <w:rPr>
          <w:b/>
          <w:bCs/>
          <w:sz w:val="28"/>
          <w:szCs w:val="28"/>
        </w:rPr>
        <w:t>23</w:t>
      </w:r>
      <w:r w:rsidRPr="005F7E3B">
        <w:rPr>
          <w:b/>
          <w:bCs/>
          <w:sz w:val="28"/>
          <w:szCs w:val="28"/>
        </w:rPr>
        <w:t>, 2017</w:t>
      </w:r>
      <w:r>
        <w:rPr>
          <w:b/>
          <w:bCs/>
          <w:sz w:val="28"/>
          <w:szCs w:val="28"/>
        </w:rPr>
        <w:t>.</w:t>
      </w:r>
    </w:p>
    <w:p w:rsidR="005F7E3B" w:rsidRDefault="005F7E3B" w:rsidP="005F7E3B">
      <w:pPr>
        <w:jc w:val="both"/>
        <w:rPr>
          <w:b/>
          <w:bCs/>
          <w:sz w:val="28"/>
          <w:szCs w:val="28"/>
        </w:rPr>
      </w:pPr>
    </w:p>
    <w:p w:rsidR="005F7E3B" w:rsidRDefault="005F7E3B" w:rsidP="005F7E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Publish 01/25/17 and 02/01/17</w:t>
      </w:r>
    </w:p>
    <w:p w:rsidR="00597AAD" w:rsidRDefault="00597AAD" w:rsidP="00597AAD"/>
    <w:p w:rsidR="00092F03" w:rsidRDefault="00092F03"/>
    <w:sectPr w:rsidR="0009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DE7"/>
    <w:multiLevelType w:val="hybridMultilevel"/>
    <w:tmpl w:val="6F28EF36"/>
    <w:lvl w:ilvl="0" w:tplc="E952AA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254C0"/>
    <w:multiLevelType w:val="hybridMultilevel"/>
    <w:tmpl w:val="2FC0462C"/>
    <w:lvl w:ilvl="0" w:tplc="34A626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64310"/>
    <w:multiLevelType w:val="hybridMultilevel"/>
    <w:tmpl w:val="1A8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C7DA4"/>
    <w:multiLevelType w:val="hybridMultilevel"/>
    <w:tmpl w:val="9B2ED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AD"/>
    <w:rsid w:val="00092F03"/>
    <w:rsid w:val="005114F9"/>
    <w:rsid w:val="00597AAD"/>
    <w:rsid w:val="005F3E2D"/>
    <w:rsid w:val="005F7E3B"/>
    <w:rsid w:val="007B2DE3"/>
    <w:rsid w:val="009A205E"/>
    <w:rsid w:val="00B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1E54E-3DF8-4246-9283-4C126A91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AD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A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pintoindustry.com" TargetMode="External"/><Relationship Id="rId5" Type="http://schemas.openxmlformats.org/officeDocument/2006/relationships/hyperlink" Target="mailto:jmccoy@nempd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NEMPDD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McCoy</dc:creator>
  <cp:keywords/>
  <dc:description/>
  <cp:lastModifiedBy>Ashley Henderson</cp:lastModifiedBy>
  <cp:revision>2</cp:revision>
  <cp:lastPrinted>2017-01-23T18:56:00Z</cp:lastPrinted>
  <dcterms:created xsi:type="dcterms:W3CDTF">2017-01-31T18:30:00Z</dcterms:created>
  <dcterms:modified xsi:type="dcterms:W3CDTF">2017-01-31T18:30:00Z</dcterms:modified>
</cp:coreProperties>
</file>