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CC236" w14:textId="77777777" w:rsidR="0013312A" w:rsidRPr="00E40C1D" w:rsidRDefault="002B4C78" w:rsidP="002B4C78">
      <w:pPr>
        <w:suppressAutoHyphens/>
        <w:jc w:val="center"/>
        <w:rPr>
          <w:rFonts w:ascii="Times New Roman" w:hAnsi="Times New Roman" w:cs="Times New Roman"/>
          <w:b/>
          <w:i/>
          <w:sz w:val="26"/>
          <w:szCs w:val="24"/>
        </w:rPr>
      </w:pPr>
      <w:r w:rsidRPr="00E40C1D">
        <w:rPr>
          <w:rFonts w:ascii="Times New Roman" w:hAnsi="Times New Roman" w:cs="Times New Roman"/>
          <w:b/>
          <w:i/>
          <w:sz w:val="26"/>
          <w:szCs w:val="24"/>
        </w:rPr>
        <w:t>The</w:t>
      </w:r>
      <w:r w:rsidR="0013312A" w:rsidRPr="00E40C1D">
        <w:rPr>
          <w:rFonts w:ascii="Times New Roman" w:hAnsi="Times New Roman" w:cs="Times New Roman"/>
          <w:b/>
          <w:i/>
          <w:sz w:val="26"/>
          <w:szCs w:val="24"/>
        </w:rPr>
        <w:t xml:space="preserve"> University</w:t>
      </w:r>
      <w:r w:rsidRPr="00E40C1D">
        <w:rPr>
          <w:rFonts w:ascii="Times New Roman" w:hAnsi="Times New Roman" w:cs="Times New Roman"/>
          <w:b/>
          <w:i/>
          <w:sz w:val="26"/>
          <w:szCs w:val="24"/>
        </w:rPr>
        <w:t xml:space="preserve"> of Southern Mississippi</w:t>
      </w:r>
    </w:p>
    <w:p w14:paraId="1740FA73" w14:textId="1C2E1229" w:rsidR="00845577" w:rsidRDefault="0013312A" w:rsidP="002B4C78">
      <w:pPr>
        <w:suppressAutoHyphens/>
        <w:jc w:val="center"/>
        <w:rPr>
          <w:rFonts w:ascii="Times New Roman" w:hAnsi="Times New Roman" w:cs="Times New Roman"/>
          <w:b/>
          <w:sz w:val="26"/>
          <w:szCs w:val="24"/>
        </w:rPr>
      </w:pPr>
      <w:r w:rsidRPr="00E40C1D">
        <w:rPr>
          <w:rFonts w:ascii="Times New Roman" w:hAnsi="Times New Roman" w:cs="Times New Roman"/>
          <w:b/>
          <w:sz w:val="26"/>
          <w:szCs w:val="24"/>
        </w:rPr>
        <w:t>Notice of Proposed Sole Source Purchase</w:t>
      </w:r>
      <w:r w:rsidR="00ED20DA">
        <w:rPr>
          <w:rFonts w:ascii="Times New Roman" w:hAnsi="Times New Roman" w:cs="Times New Roman"/>
          <w:b/>
          <w:sz w:val="26"/>
          <w:szCs w:val="24"/>
        </w:rPr>
        <w:t xml:space="preserve"> of </w:t>
      </w:r>
      <w:r w:rsidR="00845577" w:rsidRPr="00845577">
        <w:rPr>
          <w:rFonts w:ascii="Times New Roman" w:hAnsi="Times New Roman" w:cs="Times New Roman"/>
          <w:b/>
          <w:sz w:val="26"/>
          <w:szCs w:val="24"/>
        </w:rPr>
        <w:t xml:space="preserve">64 Channel Geodesic Electroencephalogram (EEG) System </w:t>
      </w:r>
    </w:p>
    <w:p w14:paraId="0FEEC62E" w14:textId="6614DEAC" w:rsidR="00845577" w:rsidRPr="00E40C1D" w:rsidRDefault="00845577" w:rsidP="002B4C78">
      <w:pPr>
        <w:suppressAutoHyphens/>
        <w:jc w:val="center"/>
        <w:rPr>
          <w:rFonts w:ascii="Times New Roman" w:hAnsi="Times New Roman" w:cs="Times New Roman"/>
          <w:b/>
          <w:sz w:val="26"/>
          <w:szCs w:val="24"/>
        </w:rPr>
      </w:pPr>
      <w:r w:rsidRPr="00845577">
        <w:rPr>
          <w:rFonts w:ascii="Times New Roman" w:hAnsi="Times New Roman" w:cs="Times New Roman"/>
          <w:b/>
          <w:sz w:val="26"/>
          <w:szCs w:val="24"/>
        </w:rPr>
        <w:t>RFx Number</w:t>
      </w:r>
      <w:r>
        <w:rPr>
          <w:rFonts w:ascii="Times New Roman" w:hAnsi="Times New Roman" w:cs="Times New Roman"/>
          <w:b/>
          <w:sz w:val="26"/>
          <w:szCs w:val="24"/>
        </w:rPr>
        <w:t xml:space="preserve"> </w:t>
      </w:r>
      <w:r w:rsidRPr="00845577">
        <w:rPr>
          <w:rFonts w:ascii="Times New Roman" w:hAnsi="Times New Roman" w:cs="Times New Roman"/>
          <w:b/>
          <w:sz w:val="26"/>
          <w:szCs w:val="24"/>
        </w:rPr>
        <w:t>3150000255</w:t>
      </w:r>
      <w:r>
        <w:rPr>
          <w:rFonts w:ascii="Times New Roman" w:hAnsi="Times New Roman" w:cs="Times New Roman"/>
          <w:b/>
          <w:sz w:val="26"/>
          <w:szCs w:val="24"/>
        </w:rPr>
        <w:t>/</w:t>
      </w:r>
      <w:r w:rsidRPr="00845577">
        <w:t xml:space="preserve"> </w:t>
      </w:r>
      <w:r>
        <w:rPr>
          <w:rFonts w:ascii="Times New Roman" w:hAnsi="Times New Roman" w:cs="Times New Roman"/>
          <w:b/>
          <w:sz w:val="26"/>
          <w:szCs w:val="24"/>
        </w:rPr>
        <w:t>USM SSP 16_007</w:t>
      </w:r>
    </w:p>
    <w:p w14:paraId="0481F0B3" w14:textId="77777777" w:rsidR="0013312A" w:rsidRDefault="0013312A" w:rsidP="0013312A">
      <w:pPr>
        <w:suppressAutoHyphens/>
        <w:ind w:left="1440"/>
        <w:jc w:val="center"/>
        <w:rPr>
          <w:rFonts w:ascii="Times New Roman" w:hAnsi="Times New Roman" w:cs="Times New Roman"/>
          <w:sz w:val="24"/>
          <w:szCs w:val="24"/>
        </w:rPr>
      </w:pPr>
    </w:p>
    <w:p w14:paraId="07FBC485" w14:textId="77777777" w:rsidR="0013312A" w:rsidRDefault="002B4C78" w:rsidP="002B4C78">
      <w:pPr>
        <w:suppressAutoHyphens/>
        <w:rPr>
          <w:rFonts w:ascii="Times New Roman" w:hAnsi="Times New Roman" w:cs="Times New Roman"/>
          <w:sz w:val="24"/>
          <w:szCs w:val="24"/>
        </w:rPr>
      </w:pPr>
      <w:r>
        <w:rPr>
          <w:rFonts w:ascii="Times New Roman" w:hAnsi="Times New Roman" w:cs="Times New Roman"/>
          <w:sz w:val="24"/>
          <w:szCs w:val="24"/>
        </w:rPr>
        <w:t xml:space="preserve">The </w:t>
      </w:r>
      <w:r w:rsidR="0013312A">
        <w:rPr>
          <w:rFonts w:ascii="Times New Roman" w:hAnsi="Times New Roman" w:cs="Times New Roman"/>
          <w:sz w:val="24"/>
          <w:szCs w:val="24"/>
        </w:rPr>
        <w:t xml:space="preserve">University </w:t>
      </w:r>
      <w:r>
        <w:rPr>
          <w:rFonts w:ascii="Times New Roman" w:hAnsi="Times New Roman" w:cs="Times New Roman"/>
          <w:sz w:val="24"/>
          <w:szCs w:val="24"/>
        </w:rPr>
        <w:t xml:space="preserve">of Southern Mississippi </w:t>
      </w:r>
      <w:r w:rsidR="0013312A">
        <w:rPr>
          <w:rFonts w:ascii="Times New Roman" w:hAnsi="Times New Roman" w:cs="Times New Roman"/>
          <w:sz w:val="24"/>
          <w:szCs w:val="24"/>
        </w:rPr>
        <w:t xml:space="preserve">anticipates purchasing the item(s) listed below as a sole source purchase.  </w:t>
      </w:r>
      <w:r w:rsidR="009E3BAD">
        <w:rPr>
          <w:rFonts w:ascii="Times New Roman" w:hAnsi="Times New Roman" w:cs="Times New Roman"/>
          <w:sz w:val="24"/>
          <w:szCs w:val="24"/>
        </w:rPr>
        <w:t>Anyone objecting to this purchase shall follow the procedures outlined below in “Objections.”</w:t>
      </w:r>
    </w:p>
    <w:p w14:paraId="60AECC59" w14:textId="77777777" w:rsidR="0013312A" w:rsidRDefault="0013312A" w:rsidP="0013312A">
      <w:pPr>
        <w:suppressAutoHyphens/>
        <w:ind w:left="720"/>
        <w:rPr>
          <w:rFonts w:ascii="Times New Roman" w:hAnsi="Times New Roman" w:cs="Times New Roman"/>
          <w:sz w:val="24"/>
          <w:szCs w:val="24"/>
        </w:rPr>
      </w:pPr>
    </w:p>
    <w:p w14:paraId="2CE26EB7" w14:textId="77777777" w:rsidR="001B5819" w:rsidRDefault="0013312A" w:rsidP="0013312A">
      <w:pPr>
        <w:suppressAutoHyphens/>
        <w:ind w:left="720"/>
        <w:rPr>
          <w:rFonts w:ascii="Times New Roman" w:hAnsi="Times New Roman" w:cs="Times New Roman"/>
          <w:sz w:val="24"/>
          <w:szCs w:val="24"/>
        </w:rPr>
      </w:pPr>
      <w:r>
        <w:rPr>
          <w:rFonts w:ascii="Times New Roman" w:hAnsi="Times New Roman" w:cs="Times New Roman"/>
          <w:sz w:val="24"/>
          <w:szCs w:val="24"/>
        </w:rPr>
        <w:t>Commodity or commodities to be purchased (make, model, description):</w:t>
      </w:r>
      <w:r w:rsidR="00566AD3">
        <w:rPr>
          <w:rFonts w:ascii="Times New Roman" w:hAnsi="Times New Roman" w:cs="Times New Roman"/>
          <w:sz w:val="24"/>
          <w:szCs w:val="24"/>
        </w:rPr>
        <w:t xml:space="preserve"> </w:t>
      </w:r>
    </w:p>
    <w:p w14:paraId="05BE2A0A" w14:textId="77777777" w:rsidR="001B5819" w:rsidRPr="001B5819" w:rsidRDefault="001B5819" w:rsidP="0013312A">
      <w:pPr>
        <w:suppressAutoHyphens/>
        <w:ind w:left="720"/>
        <w:rPr>
          <w:rFonts w:ascii="Times New Roman" w:hAnsi="Times New Roman" w:cs="Times New Roman"/>
          <w:b/>
          <w:sz w:val="24"/>
          <w:szCs w:val="24"/>
        </w:rPr>
      </w:pPr>
      <w:r w:rsidRPr="001B5819">
        <w:rPr>
          <w:rFonts w:ascii="Times New Roman" w:hAnsi="Times New Roman" w:cs="Times New Roman"/>
          <w:b/>
          <w:sz w:val="24"/>
          <w:szCs w:val="24"/>
        </w:rPr>
        <w:t>The University is requesting to purchase a 64 Channel Geodesic Electroencephalogram (EEG) System 400</w:t>
      </w:r>
      <w:r>
        <w:rPr>
          <w:rFonts w:ascii="Times New Roman" w:hAnsi="Times New Roman" w:cs="Times New Roman"/>
          <w:b/>
          <w:sz w:val="24"/>
          <w:szCs w:val="24"/>
        </w:rPr>
        <w:t xml:space="preserve"> along with required event-related potential (ERP) workstations/software, and </w:t>
      </w:r>
      <w:r w:rsidR="00464A7C">
        <w:rPr>
          <w:rFonts w:ascii="Times New Roman" w:hAnsi="Times New Roman" w:cs="Times New Roman"/>
          <w:b/>
          <w:sz w:val="24"/>
          <w:szCs w:val="24"/>
        </w:rPr>
        <w:t>HydroCel</w:t>
      </w:r>
      <w:r w:rsidR="00B60765">
        <w:rPr>
          <w:rFonts w:ascii="Times New Roman" w:hAnsi="Times New Roman" w:cs="Times New Roman"/>
          <w:b/>
          <w:sz w:val="24"/>
          <w:szCs w:val="24"/>
        </w:rPr>
        <w:t xml:space="preserve"> Geodesic Sensor</w:t>
      </w:r>
      <w:r w:rsidR="00464A7C">
        <w:rPr>
          <w:rFonts w:ascii="Times New Roman" w:hAnsi="Times New Roman" w:cs="Times New Roman"/>
          <w:b/>
          <w:sz w:val="24"/>
          <w:szCs w:val="24"/>
        </w:rPr>
        <w:t xml:space="preserve"> nets</w:t>
      </w:r>
      <w:r w:rsidRPr="001B5819">
        <w:rPr>
          <w:rFonts w:ascii="Times New Roman" w:hAnsi="Times New Roman" w:cs="Times New Roman"/>
          <w:b/>
          <w:sz w:val="24"/>
          <w:szCs w:val="24"/>
        </w:rPr>
        <w:t xml:space="preserve">. </w:t>
      </w:r>
    </w:p>
    <w:p w14:paraId="6B5F8704" w14:textId="77777777" w:rsidR="00566AD3" w:rsidRDefault="0013312A" w:rsidP="00566AD3">
      <w:pPr>
        <w:suppressAutoHyphens/>
        <w:ind w:left="720"/>
        <w:rPr>
          <w:rFonts w:ascii="Times New Roman" w:hAnsi="Times New Roman" w:cs="Times New Roman"/>
          <w:sz w:val="24"/>
          <w:szCs w:val="24"/>
        </w:rPr>
      </w:pPr>
      <w:r>
        <w:rPr>
          <w:rFonts w:ascii="Times New Roman" w:hAnsi="Times New Roman" w:cs="Times New Roman"/>
          <w:sz w:val="24"/>
          <w:szCs w:val="24"/>
        </w:rPr>
        <w:t>Explanation of the need to be fulfilled by this item(s) and why it is the only one that can meet the specific needs of the department:</w:t>
      </w:r>
      <w:r w:rsidR="00566AD3">
        <w:rPr>
          <w:rFonts w:ascii="Times New Roman" w:hAnsi="Times New Roman" w:cs="Times New Roman"/>
          <w:sz w:val="24"/>
          <w:szCs w:val="24"/>
        </w:rPr>
        <w:t xml:space="preserve"> </w:t>
      </w:r>
      <w:r w:rsidR="002B4C78">
        <w:rPr>
          <w:rFonts w:ascii="Times New Roman" w:hAnsi="Times New Roman" w:cs="Times New Roman"/>
          <w:sz w:val="24"/>
          <w:szCs w:val="24"/>
        </w:rPr>
        <w:t>[</w:t>
      </w:r>
      <w:r w:rsidR="00566AD3">
        <w:rPr>
          <w:rFonts w:ascii="Times New Roman" w:hAnsi="Times New Roman" w:cs="Times New Roman"/>
          <w:sz w:val="24"/>
          <w:szCs w:val="24"/>
        </w:rPr>
        <w:t>department to complete</w:t>
      </w:r>
      <w:r w:rsidR="002B4C78">
        <w:rPr>
          <w:rFonts w:ascii="Times New Roman" w:hAnsi="Times New Roman" w:cs="Times New Roman"/>
          <w:sz w:val="24"/>
          <w:szCs w:val="24"/>
        </w:rPr>
        <w:t>]</w:t>
      </w:r>
    </w:p>
    <w:p w14:paraId="4ACB85EF" w14:textId="36A5CE69" w:rsidR="008A5528" w:rsidRPr="008A5528" w:rsidRDefault="00464A7C" w:rsidP="0013312A">
      <w:pPr>
        <w:suppressAutoHyphens/>
        <w:ind w:left="720"/>
        <w:rPr>
          <w:rFonts w:ascii="Times New Roman" w:hAnsi="Times New Roman" w:cs="Times New Roman"/>
          <w:b/>
          <w:sz w:val="24"/>
          <w:szCs w:val="24"/>
        </w:rPr>
      </w:pPr>
      <w:r w:rsidRPr="008A5528">
        <w:rPr>
          <w:rFonts w:ascii="Times New Roman" w:hAnsi="Times New Roman" w:cs="Times New Roman"/>
          <w:b/>
          <w:sz w:val="24"/>
          <w:szCs w:val="24"/>
        </w:rPr>
        <w:t xml:space="preserve">This EEG System will allow for the monitoring and recording of brain activity at high spatial resolution. </w:t>
      </w:r>
      <w:r w:rsidR="008A5528">
        <w:rPr>
          <w:rFonts w:ascii="Times New Roman" w:hAnsi="Times New Roman" w:cs="Times New Roman"/>
          <w:b/>
          <w:sz w:val="24"/>
          <w:szCs w:val="24"/>
        </w:rPr>
        <w:t>By using</w:t>
      </w:r>
      <w:r w:rsidR="008A5528" w:rsidRPr="008A5528">
        <w:rPr>
          <w:rFonts w:ascii="Times New Roman" w:hAnsi="Times New Roman" w:cs="Times New Roman"/>
          <w:b/>
          <w:sz w:val="24"/>
          <w:szCs w:val="24"/>
        </w:rPr>
        <w:t xml:space="preserve"> 64 electrodes evenly spaced over the entire scalp, che</w:t>
      </w:r>
      <w:r w:rsidR="00B81AAB">
        <w:rPr>
          <w:rFonts w:ascii="Times New Roman" w:hAnsi="Times New Roman" w:cs="Times New Roman"/>
          <w:b/>
          <w:sz w:val="24"/>
          <w:szCs w:val="24"/>
        </w:rPr>
        <w:t>e</w:t>
      </w:r>
      <w:r w:rsidR="008A5528" w:rsidRPr="008A5528">
        <w:rPr>
          <w:rFonts w:ascii="Times New Roman" w:hAnsi="Times New Roman" w:cs="Times New Roman"/>
          <w:b/>
          <w:sz w:val="24"/>
          <w:szCs w:val="24"/>
        </w:rPr>
        <w:t xml:space="preserve">ks, and back of the neck, this system </w:t>
      </w:r>
      <w:r w:rsidR="008A5528">
        <w:rPr>
          <w:rFonts w:ascii="Times New Roman" w:hAnsi="Times New Roman" w:cs="Times New Roman"/>
          <w:b/>
          <w:sz w:val="24"/>
          <w:szCs w:val="24"/>
        </w:rPr>
        <w:t>will provide</w:t>
      </w:r>
      <w:r w:rsidR="008A5528" w:rsidRPr="008A5528">
        <w:rPr>
          <w:rFonts w:ascii="Times New Roman" w:hAnsi="Times New Roman" w:cs="Times New Roman"/>
          <w:b/>
          <w:sz w:val="24"/>
          <w:szCs w:val="24"/>
        </w:rPr>
        <w:t xml:space="preserve"> dense and even sampling without having to interpolate between widely spaced sensors. </w:t>
      </w:r>
    </w:p>
    <w:p w14:paraId="7CDE07CC" w14:textId="638E4D5D" w:rsidR="00464A7C" w:rsidRDefault="008A5528" w:rsidP="0013312A">
      <w:pPr>
        <w:suppressAutoHyphens/>
        <w:ind w:left="720"/>
        <w:rPr>
          <w:rFonts w:ascii="Times New Roman" w:hAnsi="Times New Roman" w:cs="Times New Roman"/>
          <w:b/>
          <w:sz w:val="24"/>
          <w:szCs w:val="24"/>
        </w:rPr>
      </w:pPr>
      <w:r w:rsidRPr="008A5528">
        <w:rPr>
          <w:rFonts w:ascii="Times New Roman" w:hAnsi="Times New Roman" w:cs="Times New Roman"/>
          <w:b/>
          <w:sz w:val="24"/>
          <w:szCs w:val="24"/>
        </w:rPr>
        <w:t xml:space="preserve">This particular system is necessary </w:t>
      </w:r>
      <w:r w:rsidR="00464A7C" w:rsidRPr="008A5528">
        <w:rPr>
          <w:rFonts w:ascii="Times New Roman" w:hAnsi="Times New Roman" w:cs="Times New Roman"/>
          <w:b/>
          <w:sz w:val="24"/>
          <w:szCs w:val="24"/>
        </w:rPr>
        <w:t xml:space="preserve">in </w:t>
      </w:r>
      <w:r w:rsidRPr="008A5528">
        <w:rPr>
          <w:rFonts w:ascii="Times New Roman" w:hAnsi="Times New Roman" w:cs="Times New Roman"/>
          <w:b/>
          <w:sz w:val="24"/>
          <w:szCs w:val="24"/>
        </w:rPr>
        <w:t>order to allow for</w:t>
      </w:r>
      <w:r w:rsidR="00464A7C" w:rsidRPr="008A5528">
        <w:rPr>
          <w:rFonts w:ascii="Times New Roman" w:hAnsi="Times New Roman" w:cs="Times New Roman"/>
          <w:b/>
          <w:sz w:val="24"/>
          <w:szCs w:val="24"/>
        </w:rPr>
        <w:t xml:space="preserve"> </w:t>
      </w:r>
      <w:r w:rsidRPr="008A5528">
        <w:rPr>
          <w:rFonts w:ascii="Times New Roman" w:hAnsi="Times New Roman" w:cs="Times New Roman"/>
          <w:b/>
          <w:sz w:val="24"/>
          <w:szCs w:val="24"/>
        </w:rPr>
        <w:t xml:space="preserve">the continuation </w:t>
      </w:r>
      <w:r w:rsidR="00464A7C" w:rsidRPr="008A5528">
        <w:rPr>
          <w:rFonts w:ascii="Times New Roman" w:hAnsi="Times New Roman" w:cs="Times New Roman"/>
          <w:b/>
          <w:sz w:val="24"/>
          <w:szCs w:val="24"/>
        </w:rPr>
        <w:t xml:space="preserve">of an </w:t>
      </w:r>
      <w:r w:rsidR="00B60765">
        <w:rPr>
          <w:rFonts w:ascii="Times New Roman" w:hAnsi="Times New Roman" w:cs="Times New Roman"/>
          <w:b/>
          <w:sz w:val="24"/>
          <w:szCs w:val="24"/>
        </w:rPr>
        <w:t>ongoing</w:t>
      </w:r>
      <w:r w:rsidR="00464A7C" w:rsidRPr="008A5528">
        <w:rPr>
          <w:rFonts w:ascii="Times New Roman" w:hAnsi="Times New Roman" w:cs="Times New Roman"/>
          <w:b/>
          <w:sz w:val="24"/>
          <w:szCs w:val="24"/>
        </w:rPr>
        <w:t xml:space="preserve"> research </w:t>
      </w:r>
      <w:r w:rsidR="00B60765">
        <w:rPr>
          <w:rFonts w:ascii="Times New Roman" w:hAnsi="Times New Roman" w:cs="Times New Roman"/>
          <w:b/>
          <w:sz w:val="24"/>
          <w:szCs w:val="24"/>
        </w:rPr>
        <w:t>study</w:t>
      </w:r>
      <w:r w:rsidRPr="008A5528">
        <w:rPr>
          <w:rFonts w:ascii="Times New Roman" w:hAnsi="Times New Roman" w:cs="Times New Roman"/>
          <w:b/>
          <w:sz w:val="24"/>
          <w:szCs w:val="24"/>
        </w:rPr>
        <w:t xml:space="preserve"> initiated at the Yale School of Medicine</w:t>
      </w:r>
      <w:r w:rsidR="00464A7C" w:rsidRPr="008A5528">
        <w:rPr>
          <w:rFonts w:ascii="Times New Roman" w:hAnsi="Times New Roman" w:cs="Times New Roman"/>
          <w:b/>
          <w:sz w:val="24"/>
          <w:szCs w:val="24"/>
        </w:rPr>
        <w:t xml:space="preserve"> examining neural mechanisms of change </w:t>
      </w:r>
      <w:r w:rsidRPr="008A5528">
        <w:rPr>
          <w:rFonts w:ascii="Times New Roman" w:hAnsi="Times New Roman" w:cs="Times New Roman"/>
          <w:b/>
          <w:sz w:val="24"/>
          <w:szCs w:val="24"/>
        </w:rPr>
        <w:t>underlying a psychosocial intervention for young children with ADHD</w:t>
      </w:r>
      <w:r w:rsidR="00B60765">
        <w:rPr>
          <w:rFonts w:ascii="Times New Roman" w:hAnsi="Times New Roman" w:cs="Times New Roman"/>
          <w:b/>
          <w:sz w:val="24"/>
          <w:szCs w:val="24"/>
        </w:rPr>
        <w:t xml:space="preserve"> and to </w:t>
      </w:r>
      <w:r w:rsidR="000849B6">
        <w:rPr>
          <w:rFonts w:ascii="Times New Roman" w:hAnsi="Times New Roman" w:cs="Times New Roman"/>
          <w:b/>
          <w:sz w:val="24"/>
          <w:szCs w:val="24"/>
        </w:rPr>
        <w:t>maintain</w:t>
      </w:r>
      <w:r w:rsidR="00B60765">
        <w:rPr>
          <w:rFonts w:ascii="Times New Roman" w:hAnsi="Times New Roman" w:cs="Times New Roman"/>
          <w:b/>
          <w:sz w:val="24"/>
          <w:szCs w:val="24"/>
        </w:rPr>
        <w:t xml:space="preserve"> ongoing collaborations with Yale researchers</w:t>
      </w:r>
      <w:r w:rsidRPr="008A5528">
        <w:rPr>
          <w:rFonts w:ascii="Times New Roman" w:hAnsi="Times New Roman" w:cs="Times New Roman"/>
          <w:b/>
          <w:sz w:val="24"/>
          <w:szCs w:val="24"/>
        </w:rPr>
        <w:t>.</w:t>
      </w:r>
    </w:p>
    <w:p w14:paraId="6CDE257A" w14:textId="30D60E0D" w:rsidR="00B60765" w:rsidRPr="008A5528" w:rsidRDefault="00B60765" w:rsidP="0013312A">
      <w:pPr>
        <w:suppressAutoHyphens/>
        <w:ind w:left="720"/>
        <w:rPr>
          <w:rFonts w:ascii="Times New Roman" w:hAnsi="Times New Roman" w:cs="Times New Roman"/>
          <w:b/>
          <w:sz w:val="24"/>
          <w:szCs w:val="24"/>
        </w:rPr>
      </w:pPr>
      <w:r>
        <w:rPr>
          <w:rFonts w:ascii="Times New Roman" w:hAnsi="Times New Roman" w:cs="Times New Roman"/>
          <w:b/>
          <w:sz w:val="24"/>
          <w:szCs w:val="24"/>
        </w:rPr>
        <w:t xml:space="preserve">The HydroCel Geodesic Sensor Nets </w:t>
      </w:r>
      <w:r w:rsidR="00873C8E">
        <w:rPr>
          <w:rFonts w:ascii="Times New Roman" w:hAnsi="Times New Roman" w:cs="Times New Roman"/>
          <w:b/>
          <w:sz w:val="24"/>
          <w:szCs w:val="24"/>
        </w:rPr>
        <w:t xml:space="preserve">are proprietary technology of and available solely from Electrical Geodesics, Inc. </w:t>
      </w:r>
      <w:r>
        <w:rPr>
          <w:rFonts w:ascii="Times New Roman" w:hAnsi="Times New Roman" w:cs="Times New Roman"/>
          <w:b/>
          <w:sz w:val="24"/>
          <w:szCs w:val="24"/>
        </w:rPr>
        <w:t xml:space="preserve">These nets are functionally unique in </w:t>
      </w:r>
      <w:r w:rsidR="00873C8E">
        <w:rPr>
          <w:rFonts w:ascii="Times New Roman" w:hAnsi="Times New Roman" w:cs="Times New Roman"/>
          <w:b/>
          <w:sz w:val="24"/>
          <w:szCs w:val="24"/>
        </w:rPr>
        <w:t>their</w:t>
      </w:r>
      <w:r>
        <w:rPr>
          <w:rFonts w:ascii="Times New Roman" w:hAnsi="Times New Roman" w:cs="Times New Roman"/>
          <w:b/>
          <w:sz w:val="24"/>
          <w:szCs w:val="24"/>
        </w:rPr>
        <w:t xml:space="preserve"> ability for rapid application of a large number of sensors to the head without scalp abrasion, which makes the collection of high-quality EEG data possible for young </w:t>
      </w:r>
      <w:r w:rsidR="00873C8E">
        <w:rPr>
          <w:rFonts w:ascii="Times New Roman" w:hAnsi="Times New Roman" w:cs="Times New Roman"/>
          <w:b/>
          <w:sz w:val="24"/>
          <w:szCs w:val="24"/>
        </w:rPr>
        <w:t>children</w:t>
      </w:r>
      <w:r>
        <w:rPr>
          <w:rFonts w:ascii="Times New Roman" w:hAnsi="Times New Roman" w:cs="Times New Roman"/>
          <w:b/>
          <w:sz w:val="24"/>
          <w:szCs w:val="24"/>
        </w:rPr>
        <w:t xml:space="preserve"> with </w:t>
      </w:r>
      <w:r w:rsidR="00873C8E">
        <w:rPr>
          <w:rFonts w:ascii="Times New Roman" w:hAnsi="Times New Roman" w:cs="Times New Roman"/>
          <w:b/>
          <w:sz w:val="24"/>
          <w:szCs w:val="24"/>
        </w:rPr>
        <w:t xml:space="preserve">clinically significant inattentive, hyperactive/impulsive, and </w:t>
      </w:r>
      <w:r>
        <w:rPr>
          <w:rFonts w:ascii="Times New Roman" w:hAnsi="Times New Roman" w:cs="Times New Roman"/>
          <w:b/>
          <w:sz w:val="24"/>
          <w:szCs w:val="24"/>
        </w:rPr>
        <w:t>disruptive behaviors.</w:t>
      </w:r>
    </w:p>
    <w:p w14:paraId="57BAA512" w14:textId="77777777" w:rsidR="00566AD3" w:rsidRDefault="0013312A" w:rsidP="00566AD3">
      <w:pPr>
        <w:suppressAutoHyphens/>
        <w:ind w:left="720"/>
        <w:rPr>
          <w:rFonts w:ascii="Times New Roman" w:hAnsi="Times New Roman" w:cs="Times New Roman"/>
          <w:sz w:val="24"/>
          <w:szCs w:val="24"/>
        </w:rPr>
      </w:pPr>
      <w:r>
        <w:rPr>
          <w:rFonts w:ascii="Times New Roman" w:hAnsi="Times New Roman" w:cs="Times New Roman"/>
          <w:sz w:val="24"/>
          <w:szCs w:val="24"/>
        </w:rPr>
        <w:t>Name of company/individual selling the item and why that source is the only possible source that can provide the required item(s):</w:t>
      </w:r>
      <w:r w:rsidR="00566AD3" w:rsidRPr="00566AD3">
        <w:rPr>
          <w:rFonts w:ascii="Times New Roman" w:hAnsi="Times New Roman" w:cs="Times New Roman"/>
          <w:sz w:val="24"/>
          <w:szCs w:val="24"/>
        </w:rPr>
        <w:t xml:space="preserve"> </w:t>
      </w:r>
      <w:r w:rsidR="002B4C78">
        <w:rPr>
          <w:rFonts w:ascii="Times New Roman" w:hAnsi="Times New Roman" w:cs="Times New Roman"/>
          <w:sz w:val="24"/>
          <w:szCs w:val="24"/>
        </w:rPr>
        <w:t>[department to complete]</w:t>
      </w:r>
    </w:p>
    <w:p w14:paraId="2E5B8D44" w14:textId="1C011203" w:rsidR="0013312A" w:rsidRPr="001C60BA" w:rsidRDefault="00B5257D" w:rsidP="0013312A">
      <w:pPr>
        <w:suppressAutoHyphens/>
        <w:ind w:left="720"/>
        <w:rPr>
          <w:rFonts w:ascii="Times New Roman" w:hAnsi="Times New Roman" w:cs="Times New Roman"/>
          <w:b/>
          <w:sz w:val="24"/>
          <w:szCs w:val="24"/>
        </w:rPr>
      </w:pPr>
      <w:r w:rsidRPr="001C60BA">
        <w:rPr>
          <w:rFonts w:ascii="Times New Roman" w:hAnsi="Times New Roman" w:cs="Times New Roman"/>
          <w:b/>
          <w:color w:val="333333"/>
          <w:sz w:val="24"/>
          <w:szCs w:val="24"/>
          <w:lang w:val="en-GB"/>
        </w:rPr>
        <w:t xml:space="preserve">Electrical Geodesics, Inc. The HydroCel Geodesic Sensor Nets are the only commercially available nets equipped with sensors capable of recording brain activity </w:t>
      </w:r>
      <w:r w:rsidR="001C60BA" w:rsidRPr="001C60BA">
        <w:rPr>
          <w:rFonts w:ascii="Times New Roman" w:hAnsi="Times New Roman" w:cs="Times New Roman"/>
          <w:b/>
          <w:color w:val="333333"/>
          <w:sz w:val="24"/>
          <w:szCs w:val="24"/>
          <w:lang w:val="en-GB"/>
        </w:rPr>
        <w:t>by means of a simple</w:t>
      </w:r>
      <w:r w:rsidRPr="001C60BA">
        <w:rPr>
          <w:rFonts w:ascii="Times New Roman" w:hAnsi="Times New Roman" w:cs="Times New Roman"/>
          <w:b/>
          <w:color w:val="333333"/>
          <w:sz w:val="24"/>
          <w:szCs w:val="24"/>
          <w:lang w:val="en-GB"/>
        </w:rPr>
        <w:t xml:space="preserve"> water-based electrolyte solution. </w:t>
      </w:r>
      <w:r w:rsidR="001C60BA" w:rsidRPr="001C60BA">
        <w:rPr>
          <w:rFonts w:ascii="Times New Roman" w:hAnsi="Times New Roman" w:cs="Times New Roman"/>
          <w:b/>
          <w:color w:val="333333"/>
          <w:sz w:val="24"/>
          <w:szCs w:val="24"/>
          <w:lang w:val="en-GB"/>
        </w:rPr>
        <w:t xml:space="preserve">The net amplifiers that are included with the Geodesic EEG </w:t>
      </w:r>
      <w:r w:rsidR="000849B6">
        <w:rPr>
          <w:rFonts w:ascii="Times New Roman" w:hAnsi="Times New Roman" w:cs="Times New Roman"/>
          <w:b/>
          <w:color w:val="333333"/>
          <w:sz w:val="24"/>
          <w:szCs w:val="24"/>
          <w:lang w:val="en-GB"/>
        </w:rPr>
        <w:t>System</w:t>
      </w:r>
      <w:r w:rsidR="001C60BA" w:rsidRPr="001C60BA">
        <w:rPr>
          <w:rFonts w:ascii="Times New Roman" w:hAnsi="Times New Roman" w:cs="Times New Roman"/>
          <w:b/>
          <w:color w:val="333333"/>
          <w:sz w:val="24"/>
          <w:szCs w:val="24"/>
          <w:lang w:val="en-GB"/>
        </w:rPr>
        <w:t xml:space="preserve"> have been designed</w:t>
      </w:r>
      <w:r w:rsidR="001C60BA">
        <w:rPr>
          <w:rFonts w:ascii="Times New Roman" w:hAnsi="Times New Roman" w:cs="Times New Roman"/>
          <w:b/>
          <w:color w:val="333333"/>
          <w:sz w:val="24"/>
          <w:szCs w:val="24"/>
          <w:lang w:val="en-GB"/>
        </w:rPr>
        <w:t xml:space="preserve"> </w:t>
      </w:r>
      <w:r w:rsidR="001C60BA" w:rsidRPr="001C60BA">
        <w:rPr>
          <w:rFonts w:ascii="Times New Roman" w:hAnsi="Times New Roman" w:cs="Times New Roman"/>
          <w:b/>
          <w:color w:val="333333"/>
          <w:sz w:val="24"/>
          <w:szCs w:val="24"/>
          <w:lang w:val="en-GB"/>
        </w:rPr>
        <w:t xml:space="preserve">with an electronic interface that is specifically suited </w:t>
      </w:r>
      <w:r w:rsidR="001C60BA">
        <w:rPr>
          <w:rFonts w:ascii="Times New Roman" w:hAnsi="Times New Roman" w:cs="Times New Roman"/>
          <w:b/>
          <w:color w:val="333333"/>
          <w:sz w:val="24"/>
          <w:szCs w:val="24"/>
          <w:lang w:val="en-GB"/>
        </w:rPr>
        <w:t>fo</w:t>
      </w:r>
      <w:r w:rsidR="009F6771">
        <w:rPr>
          <w:rFonts w:ascii="Times New Roman" w:hAnsi="Times New Roman" w:cs="Times New Roman"/>
          <w:b/>
          <w:color w:val="333333"/>
          <w:sz w:val="24"/>
          <w:szCs w:val="24"/>
          <w:lang w:val="en-GB"/>
        </w:rPr>
        <w:t>r</w:t>
      </w:r>
      <w:r w:rsidR="001C60BA" w:rsidRPr="001C60BA">
        <w:rPr>
          <w:rFonts w:ascii="Times New Roman" w:hAnsi="Times New Roman" w:cs="Times New Roman"/>
          <w:b/>
          <w:color w:val="333333"/>
          <w:sz w:val="24"/>
          <w:szCs w:val="24"/>
          <w:lang w:val="en-GB"/>
        </w:rPr>
        <w:t xml:space="preserve"> high-impedance scalp sensors</w:t>
      </w:r>
      <w:r w:rsidR="001C60BA">
        <w:rPr>
          <w:rFonts w:ascii="Times New Roman" w:hAnsi="Times New Roman" w:cs="Times New Roman"/>
          <w:b/>
          <w:color w:val="333333"/>
          <w:sz w:val="24"/>
          <w:szCs w:val="24"/>
          <w:lang w:val="en-GB"/>
        </w:rPr>
        <w:t xml:space="preserve">. </w:t>
      </w:r>
      <w:r w:rsidR="001C60BA">
        <w:rPr>
          <w:rFonts w:ascii="Times New Roman" w:hAnsi="Times New Roman" w:cs="Times New Roman"/>
          <w:b/>
          <w:color w:val="333333"/>
          <w:sz w:val="24"/>
          <w:szCs w:val="24"/>
          <w:lang w:val="en-GB"/>
        </w:rPr>
        <w:lastRenderedPageBreak/>
        <w:t>Electrical Geodesics, Inc. is the sole manufacturer and distributor of the HydroCel Geodesic Sensor Nets.</w:t>
      </w:r>
    </w:p>
    <w:p w14:paraId="09E94BDC" w14:textId="77777777" w:rsidR="00566AD3" w:rsidRDefault="00566AD3" w:rsidP="00566AD3">
      <w:pPr>
        <w:suppressAutoHyphens/>
        <w:ind w:left="720"/>
        <w:rPr>
          <w:rFonts w:ascii="Times New Roman" w:hAnsi="Times New Roman" w:cs="Times New Roman"/>
          <w:sz w:val="24"/>
          <w:szCs w:val="24"/>
        </w:rPr>
      </w:pPr>
      <w:r>
        <w:rPr>
          <w:rFonts w:ascii="Times New Roman" w:hAnsi="Times New Roman" w:cs="Times New Roman"/>
          <w:sz w:val="24"/>
          <w:szCs w:val="24"/>
        </w:rPr>
        <w:t xml:space="preserve">Estimated cost of item(s) and an explanation why the amount to be expended is considered reasonable: </w:t>
      </w:r>
    </w:p>
    <w:p w14:paraId="7369E452" w14:textId="77777777" w:rsidR="00845577" w:rsidRDefault="00845577" w:rsidP="0013312A">
      <w:pPr>
        <w:suppressAutoHyphens/>
        <w:ind w:left="720"/>
        <w:rPr>
          <w:rFonts w:ascii="Times New Roman" w:hAnsi="Times New Roman" w:cs="Times New Roman"/>
          <w:b/>
          <w:sz w:val="24"/>
          <w:szCs w:val="24"/>
        </w:rPr>
      </w:pPr>
      <w:r w:rsidRPr="00845577">
        <w:rPr>
          <w:rFonts w:ascii="Times New Roman" w:hAnsi="Times New Roman" w:cs="Times New Roman"/>
          <w:b/>
          <w:sz w:val="24"/>
          <w:szCs w:val="24"/>
        </w:rPr>
        <w:t xml:space="preserve">The main system includes: 64 Channel Geodesic EEG System 400 ($30,000), ERP package ($11,000), EEG nets ($2,000 each, x5), lab support for 3 years ($1,500, x3), and extended warranty for the nets ($400, x10). This would equal $60,392.50 with shipping and handling. This </w:t>
      </w:r>
      <w:r>
        <w:rPr>
          <w:rFonts w:ascii="Times New Roman" w:hAnsi="Times New Roman" w:cs="Times New Roman"/>
          <w:b/>
          <w:sz w:val="24"/>
          <w:szCs w:val="24"/>
        </w:rPr>
        <w:t>package also</w:t>
      </w:r>
      <w:r w:rsidRPr="00845577">
        <w:rPr>
          <w:rFonts w:ascii="Times New Roman" w:hAnsi="Times New Roman" w:cs="Times New Roman"/>
          <w:b/>
          <w:sz w:val="24"/>
          <w:szCs w:val="24"/>
        </w:rPr>
        <w:t xml:space="preserve"> includes </w:t>
      </w:r>
      <w:r>
        <w:rPr>
          <w:rFonts w:ascii="Times New Roman" w:hAnsi="Times New Roman" w:cs="Times New Roman"/>
          <w:b/>
          <w:sz w:val="24"/>
          <w:szCs w:val="24"/>
        </w:rPr>
        <w:t xml:space="preserve">a </w:t>
      </w:r>
      <w:r w:rsidRPr="00845577">
        <w:rPr>
          <w:rFonts w:ascii="Times New Roman" w:hAnsi="Times New Roman" w:cs="Times New Roman"/>
          <w:b/>
          <w:sz w:val="24"/>
          <w:szCs w:val="24"/>
        </w:rPr>
        <w:t>reading station [additiona</w:t>
      </w:r>
      <w:r>
        <w:rPr>
          <w:rFonts w:ascii="Times New Roman" w:hAnsi="Times New Roman" w:cs="Times New Roman"/>
          <w:b/>
          <w:sz w:val="24"/>
          <w:szCs w:val="24"/>
        </w:rPr>
        <w:t xml:space="preserve">l data analytic station, which </w:t>
      </w:r>
      <w:r w:rsidRPr="00845577">
        <w:rPr>
          <w:rFonts w:ascii="Times New Roman" w:hAnsi="Times New Roman" w:cs="Times New Roman"/>
          <w:b/>
          <w:sz w:val="24"/>
          <w:szCs w:val="24"/>
        </w:rPr>
        <w:t>will be pa</w:t>
      </w:r>
      <w:r>
        <w:rPr>
          <w:rFonts w:ascii="Times New Roman" w:hAnsi="Times New Roman" w:cs="Times New Roman"/>
          <w:b/>
          <w:sz w:val="24"/>
          <w:szCs w:val="24"/>
        </w:rPr>
        <w:t>id</w:t>
      </w:r>
      <w:r w:rsidRPr="00845577">
        <w:rPr>
          <w:rFonts w:ascii="Times New Roman" w:hAnsi="Times New Roman" w:cs="Times New Roman"/>
          <w:b/>
          <w:sz w:val="24"/>
          <w:szCs w:val="24"/>
        </w:rPr>
        <w:t xml:space="preserve"> for through an external grant] and physiological package [to record heart rate and skin con</w:t>
      </w:r>
      <w:r>
        <w:rPr>
          <w:rFonts w:ascii="Times New Roman" w:hAnsi="Times New Roman" w:cs="Times New Roman"/>
          <w:b/>
          <w:sz w:val="24"/>
          <w:szCs w:val="24"/>
        </w:rPr>
        <w:t>ductance during EEG recordings]</w:t>
      </w:r>
      <w:r w:rsidRPr="00845577">
        <w:rPr>
          <w:rFonts w:ascii="Times New Roman" w:hAnsi="Times New Roman" w:cs="Times New Roman"/>
          <w:b/>
          <w:sz w:val="24"/>
          <w:szCs w:val="24"/>
        </w:rPr>
        <w:t>. The Young Investigators Research Grant through the Brain and Behavior Research Foundation will be paying for $4,250.00 for the Reading Station.</w:t>
      </w:r>
      <w:r>
        <w:rPr>
          <w:rFonts w:ascii="Times New Roman" w:hAnsi="Times New Roman" w:cs="Times New Roman"/>
          <w:b/>
          <w:sz w:val="24"/>
          <w:szCs w:val="24"/>
        </w:rPr>
        <w:t xml:space="preserve"> </w:t>
      </w:r>
    </w:p>
    <w:p w14:paraId="560FE17B" w14:textId="40691DEB" w:rsidR="00566AD3" w:rsidRPr="00EF6F60" w:rsidRDefault="00845577" w:rsidP="0013312A">
      <w:pPr>
        <w:suppressAutoHyphens/>
        <w:ind w:left="720"/>
        <w:rPr>
          <w:rFonts w:ascii="Times New Roman" w:hAnsi="Times New Roman" w:cs="Times New Roman"/>
          <w:b/>
          <w:sz w:val="24"/>
          <w:szCs w:val="24"/>
        </w:rPr>
      </w:pPr>
      <w:r>
        <w:rPr>
          <w:rFonts w:ascii="Times New Roman" w:hAnsi="Times New Roman" w:cs="Times New Roman"/>
          <w:b/>
          <w:sz w:val="24"/>
          <w:szCs w:val="24"/>
        </w:rPr>
        <w:t xml:space="preserve">The total </w:t>
      </w:r>
      <w:r w:rsidR="001B5819" w:rsidRPr="00EF6F60">
        <w:rPr>
          <w:rFonts w:ascii="Times New Roman" w:hAnsi="Times New Roman" w:cs="Times New Roman"/>
          <w:b/>
          <w:sz w:val="24"/>
          <w:szCs w:val="24"/>
        </w:rPr>
        <w:t xml:space="preserve">estimated cost </w:t>
      </w:r>
      <w:r w:rsidR="009F6771">
        <w:rPr>
          <w:rFonts w:ascii="Times New Roman" w:hAnsi="Times New Roman" w:cs="Times New Roman"/>
          <w:b/>
          <w:sz w:val="24"/>
          <w:szCs w:val="24"/>
        </w:rPr>
        <w:t xml:space="preserve">for the Geodesic EEG system </w:t>
      </w:r>
      <w:r w:rsidR="001B5819" w:rsidRPr="00EF6F60">
        <w:rPr>
          <w:rFonts w:ascii="Times New Roman" w:hAnsi="Times New Roman" w:cs="Times New Roman"/>
          <w:b/>
          <w:sz w:val="24"/>
          <w:szCs w:val="24"/>
        </w:rPr>
        <w:t>is $</w:t>
      </w:r>
      <w:r w:rsidRPr="00845577">
        <w:rPr>
          <w:rFonts w:ascii="Times New Roman" w:hAnsi="Times New Roman" w:cs="Times New Roman"/>
          <w:b/>
          <w:sz w:val="24"/>
          <w:szCs w:val="24"/>
        </w:rPr>
        <w:t>67,497.50</w:t>
      </w:r>
      <w:r w:rsidR="001B5819" w:rsidRPr="00EF6F60">
        <w:rPr>
          <w:rFonts w:ascii="Times New Roman" w:hAnsi="Times New Roman" w:cs="Times New Roman"/>
          <w:b/>
          <w:sz w:val="24"/>
          <w:szCs w:val="24"/>
        </w:rPr>
        <w:t xml:space="preserve">.  This cost is very reasonable when </w:t>
      </w:r>
      <w:r w:rsidR="009F6771">
        <w:rPr>
          <w:rFonts w:ascii="Times New Roman" w:hAnsi="Times New Roman" w:cs="Times New Roman"/>
          <w:b/>
          <w:sz w:val="24"/>
          <w:szCs w:val="24"/>
        </w:rPr>
        <w:t>compared to</w:t>
      </w:r>
      <w:r w:rsidR="001B5819" w:rsidRPr="00EF6F60">
        <w:rPr>
          <w:rFonts w:ascii="Times New Roman" w:hAnsi="Times New Roman" w:cs="Times New Roman"/>
          <w:b/>
          <w:sz w:val="24"/>
          <w:szCs w:val="24"/>
        </w:rPr>
        <w:t xml:space="preserve"> other </w:t>
      </w:r>
      <w:r w:rsidR="009F6771">
        <w:rPr>
          <w:rFonts w:ascii="Times New Roman" w:hAnsi="Times New Roman" w:cs="Times New Roman"/>
          <w:b/>
          <w:sz w:val="24"/>
          <w:szCs w:val="24"/>
        </w:rPr>
        <w:t xml:space="preserve">research-grade </w:t>
      </w:r>
      <w:r w:rsidR="001B5819" w:rsidRPr="00EF6F60">
        <w:rPr>
          <w:rFonts w:ascii="Times New Roman" w:hAnsi="Times New Roman" w:cs="Times New Roman"/>
          <w:b/>
          <w:sz w:val="24"/>
          <w:szCs w:val="24"/>
        </w:rPr>
        <w:t xml:space="preserve">EEG </w:t>
      </w:r>
      <w:r w:rsidR="009F6771">
        <w:rPr>
          <w:rFonts w:ascii="Times New Roman" w:hAnsi="Times New Roman" w:cs="Times New Roman"/>
          <w:b/>
          <w:sz w:val="24"/>
          <w:szCs w:val="24"/>
        </w:rPr>
        <w:t>systems</w:t>
      </w:r>
      <w:r w:rsidR="00B81AAB">
        <w:rPr>
          <w:rFonts w:ascii="Times New Roman" w:hAnsi="Times New Roman" w:cs="Times New Roman"/>
          <w:b/>
          <w:sz w:val="24"/>
          <w:szCs w:val="24"/>
        </w:rPr>
        <w:t>.</w:t>
      </w:r>
      <w:r>
        <w:rPr>
          <w:rFonts w:ascii="Times New Roman" w:hAnsi="Times New Roman" w:cs="Times New Roman"/>
          <w:b/>
          <w:sz w:val="24"/>
          <w:szCs w:val="24"/>
        </w:rPr>
        <w:t xml:space="preserve"> </w:t>
      </w:r>
    </w:p>
    <w:p w14:paraId="45BFABF9" w14:textId="77777777" w:rsidR="00566AD3" w:rsidRDefault="00566AD3" w:rsidP="00566AD3">
      <w:pPr>
        <w:suppressAutoHyphens/>
        <w:ind w:left="720"/>
        <w:rPr>
          <w:rFonts w:ascii="Times New Roman" w:hAnsi="Times New Roman" w:cs="Times New Roman"/>
          <w:sz w:val="24"/>
          <w:szCs w:val="24"/>
        </w:rPr>
      </w:pPr>
      <w:r>
        <w:rPr>
          <w:rFonts w:ascii="Times New Roman" w:hAnsi="Times New Roman" w:cs="Times New Roman"/>
          <w:sz w:val="24"/>
          <w:szCs w:val="24"/>
        </w:rPr>
        <w:t xml:space="preserve">Explanation of the efforts taken by the department to determine this is the only source and the efforts used to obtain the best possible price: </w:t>
      </w:r>
      <w:r w:rsidR="002B4C78">
        <w:rPr>
          <w:rFonts w:ascii="Times New Roman" w:hAnsi="Times New Roman" w:cs="Times New Roman"/>
          <w:sz w:val="24"/>
          <w:szCs w:val="24"/>
        </w:rPr>
        <w:t>[department to complete]</w:t>
      </w:r>
    </w:p>
    <w:p w14:paraId="293CCDE8" w14:textId="6AD7B317" w:rsidR="009F6771" w:rsidRDefault="00A73151" w:rsidP="00566AD3">
      <w:pPr>
        <w:suppressAutoHyphens/>
        <w:ind w:left="720"/>
        <w:rPr>
          <w:rFonts w:ascii="Times New Roman" w:hAnsi="Times New Roman" w:cs="Times New Roman"/>
          <w:b/>
          <w:sz w:val="24"/>
          <w:szCs w:val="24"/>
        </w:rPr>
      </w:pPr>
      <w:r w:rsidRPr="000849B6">
        <w:rPr>
          <w:rFonts w:ascii="Times New Roman" w:hAnsi="Times New Roman" w:cs="Times New Roman"/>
          <w:b/>
          <w:sz w:val="24"/>
          <w:szCs w:val="24"/>
        </w:rPr>
        <w:t xml:space="preserve">After consultation with disciplinary colleagues and a thorough review of available </w:t>
      </w:r>
      <w:r w:rsidR="000849B6" w:rsidRPr="000849B6">
        <w:rPr>
          <w:rFonts w:ascii="Times New Roman" w:hAnsi="Times New Roman" w:cs="Times New Roman"/>
          <w:b/>
          <w:sz w:val="24"/>
          <w:szCs w:val="24"/>
        </w:rPr>
        <w:t>EEG systems</w:t>
      </w:r>
      <w:r w:rsidRPr="000849B6">
        <w:rPr>
          <w:rFonts w:ascii="Times New Roman" w:hAnsi="Times New Roman" w:cs="Times New Roman"/>
          <w:b/>
          <w:sz w:val="24"/>
          <w:szCs w:val="24"/>
        </w:rPr>
        <w:t>, no other distributors/manufacturers of this</w:t>
      </w:r>
      <w:r w:rsidR="000849B6" w:rsidRPr="000849B6">
        <w:rPr>
          <w:rFonts w:ascii="Times New Roman" w:hAnsi="Times New Roman" w:cs="Times New Roman"/>
          <w:b/>
          <w:sz w:val="24"/>
          <w:szCs w:val="24"/>
        </w:rPr>
        <w:t xml:space="preserve"> EEG</w:t>
      </w:r>
      <w:r w:rsidRPr="000849B6">
        <w:rPr>
          <w:rFonts w:ascii="Times New Roman" w:hAnsi="Times New Roman" w:cs="Times New Roman"/>
          <w:b/>
          <w:sz w:val="24"/>
          <w:szCs w:val="24"/>
        </w:rPr>
        <w:t xml:space="preserve"> technology w</w:t>
      </w:r>
      <w:r w:rsidR="0031268F">
        <w:rPr>
          <w:rFonts w:ascii="Times New Roman" w:hAnsi="Times New Roman" w:cs="Times New Roman"/>
          <w:b/>
          <w:sz w:val="24"/>
          <w:szCs w:val="24"/>
        </w:rPr>
        <w:t>ere</w:t>
      </w:r>
      <w:r w:rsidRPr="000849B6">
        <w:rPr>
          <w:rFonts w:ascii="Times New Roman" w:hAnsi="Times New Roman" w:cs="Times New Roman"/>
          <w:b/>
          <w:sz w:val="24"/>
          <w:szCs w:val="24"/>
        </w:rPr>
        <w:t xml:space="preserve"> identified. Electrical Geodesics, Inc. </w:t>
      </w:r>
      <w:r w:rsidR="000849B6" w:rsidRPr="000849B6">
        <w:rPr>
          <w:rFonts w:ascii="Times New Roman" w:hAnsi="Times New Roman" w:cs="Times New Roman"/>
          <w:b/>
          <w:sz w:val="24"/>
          <w:szCs w:val="24"/>
        </w:rPr>
        <w:t>was approached to provide the lowest price point for this system</w:t>
      </w:r>
      <w:r w:rsidRPr="000849B6">
        <w:rPr>
          <w:rFonts w:ascii="Times New Roman" w:hAnsi="Times New Roman" w:cs="Times New Roman"/>
          <w:b/>
          <w:sz w:val="24"/>
          <w:szCs w:val="24"/>
        </w:rPr>
        <w:t xml:space="preserve">. </w:t>
      </w:r>
    </w:p>
    <w:p w14:paraId="7D995DDB" w14:textId="77777777" w:rsidR="00845577" w:rsidRDefault="00845577" w:rsidP="00566AD3">
      <w:pPr>
        <w:suppressAutoHyphens/>
        <w:ind w:left="720"/>
        <w:rPr>
          <w:rFonts w:ascii="Times New Roman" w:hAnsi="Times New Roman" w:cs="Times New Roman"/>
          <w:b/>
          <w:sz w:val="24"/>
          <w:szCs w:val="24"/>
        </w:rPr>
      </w:pPr>
    </w:p>
    <w:tbl>
      <w:tblPr>
        <w:tblStyle w:val="TableGrid"/>
        <w:tblW w:w="0" w:type="auto"/>
        <w:tblInd w:w="1765" w:type="dxa"/>
        <w:tblLook w:val="04A0" w:firstRow="1" w:lastRow="0" w:firstColumn="1" w:lastColumn="0" w:noHBand="0" w:noVBand="1"/>
      </w:tblPr>
      <w:tblGrid>
        <w:gridCol w:w="3235"/>
        <w:gridCol w:w="3600"/>
      </w:tblGrid>
      <w:tr w:rsidR="00845577" w:rsidRPr="00845577" w14:paraId="4FCB4538" w14:textId="77777777" w:rsidTr="00EB7F81">
        <w:tc>
          <w:tcPr>
            <w:tcW w:w="3235" w:type="dxa"/>
          </w:tcPr>
          <w:p w14:paraId="63B6EFEC" w14:textId="77777777" w:rsidR="00845577" w:rsidRPr="00845577" w:rsidRDefault="00845577" w:rsidP="00845577">
            <w:pPr>
              <w:suppressAutoHyphens/>
              <w:spacing w:after="160" w:line="259" w:lineRule="auto"/>
              <w:ind w:left="720"/>
              <w:rPr>
                <w:rFonts w:ascii="Times New Roman" w:hAnsi="Times New Roman" w:cs="Times New Roman"/>
                <w:b/>
                <w:sz w:val="24"/>
                <w:szCs w:val="24"/>
              </w:rPr>
            </w:pPr>
            <w:r w:rsidRPr="00845577">
              <w:rPr>
                <w:rFonts w:ascii="Times New Roman" w:hAnsi="Times New Roman" w:cs="Times New Roman"/>
                <w:b/>
                <w:sz w:val="24"/>
                <w:szCs w:val="24"/>
              </w:rPr>
              <w:t>Advertisement Schedule</w:t>
            </w:r>
          </w:p>
        </w:tc>
        <w:tc>
          <w:tcPr>
            <w:tcW w:w="3600" w:type="dxa"/>
          </w:tcPr>
          <w:p w14:paraId="7C1F173C" w14:textId="77777777" w:rsidR="00845577" w:rsidRPr="00845577" w:rsidRDefault="00845577" w:rsidP="00845577">
            <w:pPr>
              <w:suppressAutoHyphens/>
              <w:spacing w:after="160" w:line="259" w:lineRule="auto"/>
              <w:ind w:left="720"/>
              <w:rPr>
                <w:rFonts w:ascii="Times New Roman" w:hAnsi="Times New Roman" w:cs="Times New Roman"/>
                <w:b/>
                <w:sz w:val="24"/>
                <w:szCs w:val="24"/>
              </w:rPr>
            </w:pPr>
            <w:r w:rsidRPr="00845577">
              <w:rPr>
                <w:rFonts w:ascii="Times New Roman" w:hAnsi="Times New Roman" w:cs="Times New Roman"/>
                <w:b/>
                <w:sz w:val="24"/>
                <w:szCs w:val="24"/>
              </w:rPr>
              <w:t>Date</w:t>
            </w:r>
          </w:p>
        </w:tc>
      </w:tr>
      <w:tr w:rsidR="00845577" w:rsidRPr="00845577" w14:paraId="2541ACF6" w14:textId="77777777" w:rsidTr="00EB7F81">
        <w:tc>
          <w:tcPr>
            <w:tcW w:w="3235" w:type="dxa"/>
          </w:tcPr>
          <w:p w14:paraId="442B48E4" w14:textId="77777777" w:rsidR="00845577" w:rsidRPr="00845577" w:rsidRDefault="00845577" w:rsidP="00845577">
            <w:pPr>
              <w:suppressAutoHyphens/>
              <w:spacing w:after="160" w:line="259" w:lineRule="auto"/>
              <w:ind w:left="720"/>
              <w:rPr>
                <w:rFonts w:ascii="Times New Roman" w:hAnsi="Times New Roman" w:cs="Times New Roman"/>
                <w:b/>
                <w:sz w:val="24"/>
                <w:szCs w:val="24"/>
              </w:rPr>
            </w:pPr>
            <w:r w:rsidRPr="00845577">
              <w:rPr>
                <w:rFonts w:ascii="Times New Roman" w:hAnsi="Times New Roman" w:cs="Times New Roman"/>
                <w:b/>
                <w:sz w:val="24"/>
                <w:szCs w:val="24"/>
              </w:rPr>
              <w:t>1</w:t>
            </w:r>
            <w:r w:rsidRPr="00845577">
              <w:rPr>
                <w:rFonts w:ascii="Times New Roman" w:hAnsi="Times New Roman" w:cs="Times New Roman"/>
                <w:b/>
                <w:sz w:val="24"/>
                <w:szCs w:val="24"/>
                <w:vertAlign w:val="superscript"/>
              </w:rPr>
              <w:t>st</w:t>
            </w:r>
            <w:r w:rsidRPr="00845577">
              <w:rPr>
                <w:rFonts w:ascii="Times New Roman" w:hAnsi="Times New Roman" w:cs="Times New Roman"/>
                <w:b/>
                <w:sz w:val="24"/>
                <w:szCs w:val="24"/>
              </w:rPr>
              <w:t xml:space="preserve"> scheduled</w:t>
            </w:r>
          </w:p>
        </w:tc>
        <w:tc>
          <w:tcPr>
            <w:tcW w:w="3600" w:type="dxa"/>
          </w:tcPr>
          <w:p w14:paraId="4B981A9C" w14:textId="6D2951F2" w:rsidR="00845577" w:rsidRPr="00845577" w:rsidRDefault="00845577" w:rsidP="00845577">
            <w:pPr>
              <w:suppressAutoHyphens/>
              <w:spacing w:after="160" w:line="259" w:lineRule="auto"/>
              <w:ind w:left="720"/>
              <w:rPr>
                <w:rFonts w:ascii="Times New Roman" w:hAnsi="Times New Roman" w:cs="Times New Roman"/>
                <w:b/>
                <w:sz w:val="24"/>
                <w:szCs w:val="24"/>
              </w:rPr>
            </w:pPr>
            <w:r>
              <w:rPr>
                <w:rFonts w:ascii="Times New Roman" w:hAnsi="Times New Roman" w:cs="Times New Roman"/>
                <w:b/>
                <w:sz w:val="24"/>
                <w:szCs w:val="24"/>
              </w:rPr>
              <w:t>October 29, 2015</w:t>
            </w:r>
          </w:p>
        </w:tc>
      </w:tr>
      <w:tr w:rsidR="00845577" w:rsidRPr="00845577" w14:paraId="46FED360" w14:textId="77777777" w:rsidTr="00EB7F81">
        <w:tc>
          <w:tcPr>
            <w:tcW w:w="3235" w:type="dxa"/>
          </w:tcPr>
          <w:p w14:paraId="63952E7C" w14:textId="77777777" w:rsidR="00845577" w:rsidRPr="00845577" w:rsidRDefault="00845577" w:rsidP="00845577">
            <w:pPr>
              <w:suppressAutoHyphens/>
              <w:spacing w:after="160" w:line="259" w:lineRule="auto"/>
              <w:ind w:left="720"/>
              <w:rPr>
                <w:rFonts w:ascii="Times New Roman" w:hAnsi="Times New Roman" w:cs="Times New Roman"/>
                <w:b/>
                <w:sz w:val="24"/>
                <w:szCs w:val="24"/>
              </w:rPr>
            </w:pPr>
            <w:r w:rsidRPr="00845577">
              <w:rPr>
                <w:rFonts w:ascii="Times New Roman" w:hAnsi="Times New Roman" w:cs="Times New Roman"/>
                <w:b/>
                <w:sz w:val="24"/>
                <w:szCs w:val="24"/>
              </w:rPr>
              <w:t>2</w:t>
            </w:r>
            <w:r w:rsidRPr="00845577">
              <w:rPr>
                <w:rFonts w:ascii="Times New Roman" w:hAnsi="Times New Roman" w:cs="Times New Roman"/>
                <w:b/>
                <w:sz w:val="24"/>
                <w:szCs w:val="24"/>
                <w:vertAlign w:val="superscript"/>
              </w:rPr>
              <w:t>nd</w:t>
            </w:r>
            <w:r w:rsidRPr="00845577">
              <w:rPr>
                <w:rFonts w:ascii="Times New Roman" w:hAnsi="Times New Roman" w:cs="Times New Roman"/>
                <w:b/>
                <w:sz w:val="24"/>
                <w:szCs w:val="24"/>
              </w:rPr>
              <w:t xml:space="preserve"> scheduled</w:t>
            </w:r>
          </w:p>
        </w:tc>
        <w:tc>
          <w:tcPr>
            <w:tcW w:w="3600" w:type="dxa"/>
          </w:tcPr>
          <w:p w14:paraId="6D253212" w14:textId="5D89118F" w:rsidR="00845577" w:rsidRPr="00845577" w:rsidRDefault="00845577" w:rsidP="00845577">
            <w:pPr>
              <w:suppressAutoHyphens/>
              <w:spacing w:after="160" w:line="259" w:lineRule="auto"/>
              <w:ind w:left="720"/>
              <w:rPr>
                <w:rFonts w:ascii="Times New Roman" w:hAnsi="Times New Roman" w:cs="Times New Roman"/>
                <w:b/>
                <w:sz w:val="24"/>
                <w:szCs w:val="24"/>
              </w:rPr>
            </w:pPr>
            <w:r>
              <w:rPr>
                <w:rFonts w:ascii="Times New Roman" w:hAnsi="Times New Roman" w:cs="Times New Roman"/>
                <w:b/>
                <w:sz w:val="24"/>
                <w:szCs w:val="24"/>
              </w:rPr>
              <w:t>November 5, 2015</w:t>
            </w:r>
          </w:p>
        </w:tc>
      </w:tr>
    </w:tbl>
    <w:p w14:paraId="65353776" w14:textId="77777777" w:rsidR="0013312A" w:rsidRDefault="009F590D" w:rsidP="009F590D">
      <w:pPr>
        <w:pStyle w:val="Heading1"/>
        <w:rPr>
          <w:rFonts w:ascii="Times New Roman" w:hAnsi="Times New Roman" w:cs="Times New Roman"/>
          <w:color w:val="auto"/>
        </w:rPr>
      </w:pPr>
      <w:r w:rsidRPr="009F590D">
        <w:rPr>
          <w:rFonts w:ascii="Times New Roman" w:hAnsi="Times New Roman" w:cs="Times New Roman"/>
          <w:color w:val="auto"/>
        </w:rPr>
        <w:t>Objections</w:t>
      </w:r>
    </w:p>
    <w:p w14:paraId="2E7B65F8" w14:textId="77777777" w:rsidR="00ED20DA" w:rsidRPr="00ED20DA" w:rsidRDefault="00ED20DA" w:rsidP="00ED20DA"/>
    <w:p w14:paraId="03C8FB66" w14:textId="77777777" w:rsidR="00845577" w:rsidRPr="00845577" w:rsidRDefault="00845577" w:rsidP="00845577">
      <w:pPr>
        <w:suppressAutoHyphens/>
        <w:jc w:val="both"/>
        <w:rPr>
          <w:rFonts w:ascii="Times New Roman" w:hAnsi="Times New Roman" w:cs="Times New Roman"/>
          <w:sz w:val="24"/>
          <w:szCs w:val="24"/>
        </w:rPr>
      </w:pPr>
      <w:r w:rsidRPr="00845577">
        <w:rPr>
          <w:rFonts w:ascii="Times New Roman" w:hAnsi="Times New Roman" w:cs="Times New Roman"/>
          <w:sz w:val="24"/>
          <w:szCs w:val="24"/>
        </w:rPr>
        <w:t xml:space="preserve">Any person or entity that objects and </w:t>
      </w:r>
      <w:bookmarkStart w:id="0" w:name="_GoBack"/>
      <w:bookmarkEnd w:id="0"/>
      <w:r w:rsidRPr="00845577">
        <w:rPr>
          <w:rFonts w:ascii="Times New Roman" w:hAnsi="Times New Roman" w:cs="Times New Roman"/>
          <w:sz w:val="24"/>
          <w:szCs w:val="24"/>
        </w:rPr>
        <w:t>proposes that the commodity listed is not sole source and can be provided by another person or entity shall submit a written notice to:</w:t>
      </w:r>
    </w:p>
    <w:p w14:paraId="506128E8" w14:textId="77777777" w:rsidR="00845577" w:rsidRPr="00845577" w:rsidRDefault="00845577" w:rsidP="00845577">
      <w:pPr>
        <w:suppressAutoHyphens/>
        <w:jc w:val="center"/>
        <w:rPr>
          <w:rFonts w:ascii="Times New Roman" w:hAnsi="Times New Roman" w:cs="Times New Roman"/>
          <w:sz w:val="24"/>
          <w:szCs w:val="24"/>
        </w:rPr>
      </w:pPr>
      <w:r w:rsidRPr="00845577">
        <w:rPr>
          <w:rFonts w:ascii="Times New Roman" w:hAnsi="Times New Roman" w:cs="Times New Roman"/>
          <w:sz w:val="24"/>
          <w:szCs w:val="24"/>
        </w:rPr>
        <w:t>Steve Ballew</w:t>
      </w:r>
    </w:p>
    <w:p w14:paraId="3A6B369B" w14:textId="77777777" w:rsidR="00845577" w:rsidRPr="00845577" w:rsidRDefault="00845577" w:rsidP="00845577">
      <w:pPr>
        <w:suppressAutoHyphens/>
        <w:jc w:val="center"/>
        <w:rPr>
          <w:rFonts w:ascii="Times New Roman" w:hAnsi="Times New Roman" w:cs="Times New Roman"/>
          <w:sz w:val="24"/>
          <w:szCs w:val="24"/>
        </w:rPr>
      </w:pPr>
      <w:r w:rsidRPr="00845577">
        <w:rPr>
          <w:rFonts w:ascii="Times New Roman" w:hAnsi="Times New Roman" w:cs="Times New Roman"/>
          <w:sz w:val="24"/>
          <w:szCs w:val="24"/>
        </w:rPr>
        <w:t>Director of Procurement &amp; Contracts</w:t>
      </w:r>
    </w:p>
    <w:p w14:paraId="3E1AA87B" w14:textId="77777777" w:rsidR="00845577" w:rsidRPr="00845577" w:rsidRDefault="00845577" w:rsidP="00845577">
      <w:pPr>
        <w:suppressAutoHyphens/>
        <w:jc w:val="center"/>
        <w:rPr>
          <w:rFonts w:ascii="Times New Roman" w:hAnsi="Times New Roman" w:cs="Times New Roman"/>
          <w:sz w:val="24"/>
          <w:szCs w:val="24"/>
        </w:rPr>
      </w:pPr>
      <w:r w:rsidRPr="00845577">
        <w:rPr>
          <w:rFonts w:ascii="Times New Roman" w:hAnsi="Times New Roman" w:cs="Times New Roman"/>
          <w:sz w:val="24"/>
          <w:szCs w:val="24"/>
        </w:rPr>
        <w:t>Steve.ballew@usm.edu</w:t>
      </w:r>
    </w:p>
    <w:p w14:paraId="1FBE5E29" w14:textId="77777777" w:rsidR="00845577" w:rsidRPr="00845577" w:rsidRDefault="00845577" w:rsidP="00845577">
      <w:pPr>
        <w:suppressAutoHyphens/>
        <w:jc w:val="both"/>
        <w:rPr>
          <w:rFonts w:ascii="Times New Roman" w:hAnsi="Times New Roman" w:cs="Times New Roman"/>
          <w:b/>
          <w:bCs/>
          <w:sz w:val="24"/>
          <w:szCs w:val="24"/>
        </w:rPr>
      </w:pPr>
      <w:r w:rsidRPr="00845577">
        <w:rPr>
          <w:rFonts w:ascii="Times New Roman" w:hAnsi="Times New Roman" w:cs="Times New Roman"/>
          <w:b/>
          <w:bCs/>
          <w:sz w:val="24"/>
          <w:szCs w:val="24"/>
        </w:rPr>
        <w:t>Subject Line must read "Sole Source Objection"</w:t>
      </w:r>
    </w:p>
    <w:p w14:paraId="5BBDFC2F" w14:textId="11256429" w:rsidR="00845577" w:rsidRPr="00845577" w:rsidRDefault="00845577" w:rsidP="00845577">
      <w:pPr>
        <w:suppressAutoHyphens/>
        <w:jc w:val="both"/>
        <w:rPr>
          <w:rFonts w:ascii="Times New Roman" w:hAnsi="Times New Roman" w:cs="Times New Roman"/>
          <w:sz w:val="24"/>
          <w:szCs w:val="24"/>
        </w:rPr>
      </w:pPr>
      <w:r w:rsidRPr="00845577">
        <w:rPr>
          <w:rFonts w:ascii="Times New Roman" w:hAnsi="Times New Roman" w:cs="Times New Roman"/>
          <w:sz w:val="24"/>
          <w:szCs w:val="24"/>
        </w:rPr>
        <w:lastRenderedPageBreak/>
        <w:t xml:space="preserve">The notice shall contain a detailed explanation of why the commodity is not a sole source procurement. Appropriate documentation shall also be submitted if applicable. </w:t>
      </w:r>
    </w:p>
    <w:p w14:paraId="37331341" w14:textId="62802E9E" w:rsidR="00845577" w:rsidRPr="00845577" w:rsidRDefault="00845577" w:rsidP="00845577">
      <w:pPr>
        <w:suppressAutoHyphens/>
        <w:jc w:val="both"/>
        <w:rPr>
          <w:rFonts w:ascii="Times New Roman" w:hAnsi="Times New Roman" w:cs="Times New Roman"/>
          <w:sz w:val="24"/>
          <w:szCs w:val="24"/>
        </w:rPr>
      </w:pPr>
      <w:r w:rsidRPr="00845577">
        <w:rPr>
          <w:rFonts w:ascii="Times New Roman" w:hAnsi="Times New Roman" w:cs="Times New Roman"/>
          <w:sz w:val="24"/>
          <w:szCs w:val="24"/>
        </w:rP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3D767A08" w14:textId="77777777" w:rsidR="00845577" w:rsidRPr="00845577" w:rsidRDefault="00845577" w:rsidP="00845577">
      <w:pPr>
        <w:suppressAutoHyphens/>
        <w:jc w:val="both"/>
        <w:rPr>
          <w:rFonts w:ascii="Times New Roman" w:hAnsi="Times New Roman" w:cs="Times New Roman"/>
          <w:sz w:val="24"/>
          <w:szCs w:val="24"/>
        </w:rPr>
      </w:pPr>
      <w:r w:rsidRPr="00845577">
        <w:rPr>
          <w:rFonts w:ascii="Times New Roman" w:hAnsi="Times New Roman" w:cs="Times New Roman"/>
          <w:sz w:val="24"/>
          <w:szCs w:val="24"/>
        </w:rPr>
        <w:t>If USM determines after review that there is only one (1) source for the required commodity, then USM will appeal to the Public Procurement Review Board. USM will have the burden of proving that the commodity is only provided by one (1) source.</w:t>
      </w:r>
    </w:p>
    <w:p w14:paraId="10C64BE9" w14:textId="77777777" w:rsidR="0013312A" w:rsidRPr="00D55174" w:rsidRDefault="0013312A" w:rsidP="0013312A">
      <w:pPr>
        <w:suppressAutoHyphens/>
        <w:jc w:val="both"/>
        <w:rPr>
          <w:rFonts w:ascii="Arial" w:hAnsi="Arial" w:cs="Arial"/>
          <w:sz w:val="21"/>
          <w:szCs w:val="21"/>
        </w:rPr>
      </w:pPr>
    </w:p>
    <w:p w14:paraId="225AE0F2" w14:textId="77777777" w:rsidR="0013312A" w:rsidRPr="00566AD3" w:rsidRDefault="0013312A" w:rsidP="00566AD3">
      <w:pPr>
        <w:suppressAutoHyphens/>
        <w:ind w:left="720" w:hanging="720"/>
        <w:jc w:val="both"/>
        <w:rPr>
          <w:rFonts w:ascii="Times New Roman" w:hAnsi="Times New Roman" w:cs="Times New Roman"/>
        </w:rPr>
      </w:pPr>
      <w:r w:rsidRPr="00566AD3">
        <w:rPr>
          <w:rFonts w:ascii="Times New Roman" w:hAnsi="Times New Roman" w:cs="Times New Roman"/>
        </w:rPr>
        <w:t>.</w:t>
      </w:r>
    </w:p>
    <w:p w14:paraId="137467B5" w14:textId="77777777" w:rsidR="0013312A" w:rsidRPr="00566AD3" w:rsidRDefault="0013312A" w:rsidP="0013312A">
      <w:pPr>
        <w:suppressAutoHyphens/>
        <w:ind w:left="2520"/>
        <w:jc w:val="both"/>
        <w:rPr>
          <w:rFonts w:ascii="Times New Roman" w:hAnsi="Times New Roman" w:cs="Times New Roman"/>
        </w:rPr>
      </w:pPr>
    </w:p>
    <w:sectPr w:rsidR="0013312A" w:rsidRPr="00566AD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4C17B" w14:textId="77777777" w:rsidR="00873681" w:rsidRDefault="00873681" w:rsidP="002B4C78">
      <w:pPr>
        <w:spacing w:after="0" w:line="240" w:lineRule="auto"/>
      </w:pPr>
      <w:r>
        <w:separator/>
      </w:r>
    </w:p>
  </w:endnote>
  <w:endnote w:type="continuationSeparator" w:id="0">
    <w:p w14:paraId="2A24DBC0" w14:textId="77777777" w:rsidR="00873681" w:rsidRDefault="00873681" w:rsidP="002B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233767"/>
      <w:docPartObj>
        <w:docPartGallery w:val="Page Numbers (Bottom of Page)"/>
        <w:docPartUnique/>
      </w:docPartObj>
    </w:sdtPr>
    <w:sdtEndPr>
      <w:rPr>
        <w:noProof/>
      </w:rPr>
    </w:sdtEndPr>
    <w:sdtContent>
      <w:p w14:paraId="569212B5" w14:textId="77777777" w:rsidR="002B4C78" w:rsidRDefault="002B4C78">
        <w:pPr>
          <w:pStyle w:val="Footer"/>
          <w:jc w:val="center"/>
        </w:pPr>
        <w:r>
          <w:fldChar w:fldCharType="begin"/>
        </w:r>
        <w:r>
          <w:instrText xml:space="preserve"> PAGE   \* MERGEFORMAT </w:instrText>
        </w:r>
        <w:r>
          <w:fldChar w:fldCharType="separate"/>
        </w:r>
        <w:r w:rsidR="00ED20DA">
          <w:rPr>
            <w:noProof/>
          </w:rPr>
          <w:t>2</w:t>
        </w:r>
        <w:r>
          <w:rPr>
            <w:noProof/>
          </w:rPr>
          <w:fldChar w:fldCharType="end"/>
        </w:r>
      </w:p>
    </w:sdtContent>
  </w:sdt>
  <w:p w14:paraId="3CE49234" w14:textId="77777777" w:rsidR="002B4C78" w:rsidRDefault="002B4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B3912" w14:textId="77777777" w:rsidR="00873681" w:rsidRDefault="00873681" w:rsidP="002B4C78">
      <w:pPr>
        <w:spacing w:after="0" w:line="240" w:lineRule="auto"/>
      </w:pPr>
      <w:r>
        <w:separator/>
      </w:r>
    </w:p>
  </w:footnote>
  <w:footnote w:type="continuationSeparator" w:id="0">
    <w:p w14:paraId="65D010AF" w14:textId="77777777" w:rsidR="00873681" w:rsidRDefault="00873681" w:rsidP="002B4C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2A"/>
    <w:rsid w:val="000109F8"/>
    <w:rsid w:val="00027DD6"/>
    <w:rsid w:val="000849B6"/>
    <w:rsid w:val="000D23E0"/>
    <w:rsid w:val="00123FA1"/>
    <w:rsid w:val="0013312A"/>
    <w:rsid w:val="001B5819"/>
    <w:rsid w:val="001C60BA"/>
    <w:rsid w:val="002A666F"/>
    <w:rsid w:val="002B4C78"/>
    <w:rsid w:val="0031268F"/>
    <w:rsid w:val="00464A7C"/>
    <w:rsid w:val="004C6639"/>
    <w:rsid w:val="00566051"/>
    <w:rsid w:val="00566AD3"/>
    <w:rsid w:val="00664047"/>
    <w:rsid w:val="00692928"/>
    <w:rsid w:val="00712CA9"/>
    <w:rsid w:val="00845577"/>
    <w:rsid w:val="00873681"/>
    <w:rsid w:val="00873C8E"/>
    <w:rsid w:val="008A5528"/>
    <w:rsid w:val="00964972"/>
    <w:rsid w:val="009C6D15"/>
    <w:rsid w:val="009E3BAD"/>
    <w:rsid w:val="009F3DB1"/>
    <w:rsid w:val="009F590D"/>
    <w:rsid w:val="009F6771"/>
    <w:rsid w:val="00A73151"/>
    <w:rsid w:val="00A94737"/>
    <w:rsid w:val="00B5257D"/>
    <w:rsid w:val="00B60765"/>
    <w:rsid w:val="00B81AAB"/>
    <w:rsid w:val="00CF7ECB"/>
    <w:rsid w:val="00E40C1D"/>
    <w:rsid w:val="00ED20DA"/>
    <w:rsid w:val="00EF6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F2BF"/>
  <w15:docId w15:val="{DD758568-B783-4ABC-8C45-0D47B5396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12A"/>
  </w:style>
  <w:style w:type="paragraph" w:styleId="Heading1">
    <w:name w:val="heading 1"/>
    <w:basedOn w:val="Normal"/>
    <w:next w:val="Normal"/>
    <w:link w:val="Heading1Char"/>
    <w:uiPriority w:val="9"/>
    <w:qFormat/>
    <w:rsid w:val="009F590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C78"/>
  </w:style>
  <w:style w:type="paragraph" w:styleId="Footer">
    <w:name w:val="footer"/>
    <w:basedOn w:val="Normal"/>
    <w:link w:val="FooterChar"/>
    <w:uiPriority w:val="99"/>
    <w:unhideWhenUsed/>
    <w:rsid w:val="002B4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C78"/>
  </w:style>
  <w:style w:type="character" w:customStyle="1" w:styleId="Heading1Char">
    <w:name w:val="Heading 1 Char"/>
    <w:basedOn w:val="DefaultParagraphFont"/>
    <w:link w:val="Heading1"/>
    <w:uiPriority w:val="9"/>
    <w:rsid w:val="009F590D"/>
    <w:rPr>
      <w:rFonts w:asciiTheme="majorHAnsi" w:eastAsiaTheme="majorEastAsia" w:hAnsiTheme="majorHAnsi" w:cstheme="majorBidi"/>
      <w:b/>
      <w:bCs/>
      <w:color w:val="2E74B5" w:themeColor="accent1" w:themeShade="BF"/>
      <w:sz w:val="28"/>
      <w:szCs w:val="28"/>
    </w:rPr>
  </w:style>
  <w:style w:type="character" w:styleId="CommentReference">
    <w:name w:val="annotation reference"/>
    <w:basedOn w:val="DefaultParagraphFont"/>
    <w:uiPriority w:val="99"/>
    <w:semiHidden/>
    <w:unhideWhenUsed/>
    <w:rsid w:val="00464A7C"/>
    <w:rPr>
      <w:sz w:val="16"/>
      <w:szCs w:val="16"/>
    </w:rPr>
  </w:style>
  <w:style w:type="paragraph" w:styleId="CommentText">
    <w:name w:val="annotation text"/>
    <w:basedOn w:val="Normal"/>
    <w:link w:val="CommentTextChar"/>
    <w:uiPriority w:val="99"/>
    <w:semiHidden/>
    <w:unhideWhenUsed/>
    <w:rsid w:val="00464A7C"/>
    <w:pPr>
      <w:spacing w:line="240" w:lineRule="auto"/>
    </w:pPr>
    <w:rPr>
      <w:sz w:val="20"/>
      <w:szCs w:val="20"/>
    </w:rPr>
  </w:style>
  <w:style w:type="character" w:customStyle="1" w:styleId="CommentTextChar">
    <w:name w:val="Comment Text Char"/>
    <w:basedOn w:val="DefaultParagraphFont"/>
    <w:link w:val="CommentText"/>
    <w:uiPriority w:val="99"/>
    <w:semiHidden/>
    <w:rsid w:val="00464A7C"/>
    <w:rPr>
      <w:sz w:val="20"/>
      <w:szCs w:val="20"/>
    </w:rPr>
  </w:style>
  <w:style w:type="paragraph" w:styleId="CommentSubject">
    <w:name w:val="annotation subject"/>
    <w:basedOn w:val="CommentText"/>
    <w:next w:val="CommentText"/>
    <w:link w:val="CommentSubjectChar"/>
    <w:uiPriority w:val="99"/>
    <w:semiHidden/>
    <w:unhideWhenUsed/>
    <w:rsid w:val="00464A7C"/>
    <w:rPr>
      <w:b/>
      <w:bCs/>
    </w:rPr>
  </w:style>
  <w:style w:type="character" w:customStyle="1" w:styleId="CommentSubjectChar">
    <w:name w:val="Comment Subject Char"/>
    <w:basedOn w:val="CommentTextChar"/>
    <w:link w:val="CommentSubject"/>
    <w:uiPriority w:val="99"/>
    <w:semiHidden/>
    <w:rsid w:val="00464A7C"/>
    <w:rPr>
      <w:b/>
      <w:bCs/>
      <w:sz w:val="20"/>
      <w:szCs w:val="20"/>
    </w:rPr>
  </w:style>
  <w:style w:type="paragraph" w:styleId="BalloonText">
    <w:name w:val="Balloon Text"/>
    <w:basedOn w:val="Normal"/>
    <w:link w:val="BalloonTextChar"/>
    <w:uiPriority w:val="99"/>
    <w:semiHidden/>
    <w:unhideWhenUsed/>
    <w:rsid w:val="00464A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A7C"/>
    <w:rPr>
      <w:rFonts w:ascii="Segoe UI" w:hAnsi="Segoe UI" w:cs="Segoe UI"/>
      <w:sz w:val="18"/>
      <w:szCs w:val="18"/>
    </w:rPr>
  </w:style>
  <w:style w:type="table" w:styleId="TableGrid">
    <w:name w:val="Table Grid"/>
    <w:basedOn w:val="TableNormal"/>
    <w:uiPriority w:val="39"/>
    <w:rsid w:val="00845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701083">
      <w:bodyDiv w:val="1"/>
      <w:marLeft w:val="0"/>
      <w:marRight w:val="0"/>
      <w:marTop w:val="0"/>
      <w:marBottom w:val="0"/>
      <w:divBdr>
        <w:top w:val="none" w:sz="0" w:space="0" w:color="auto"/>
        <w:left w:val="none" w:sz="0" w:space="0" w:color="auto"/>
        <w:bottom w:val="none" w:sz="0" w:space="0" w:color="auto"/>
        <w:right w:val="none" w:sz="0" w:space="0" w:color="auto"/>
      </w:divBdr>
      <w:divsChild>
        <w:div w:id="1922174662">
          <w:marLeft w:val="150"/>
          <w:marRight w:val="4200"/>
          <w:marTop w:val="0"/>
          <w:marBottom w:val="0"/>
          <w:divBdr>
            <w:top w:val="none" w:sz="0" w:space="0" w:color="auto"/>
            <w:left w:val="none" w:sz="0" w:space="0" w:color="auto"/>
            <w:bottom w:val="none" w:sz="0" w:space="0" w:color="auto"/>
            <w:right w:val="none" w:sz="0" w:space="0" w:color="auto"/>
          </w:divBdr>
          <w:divsChild>
            <w:div w:id="137542867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steve.ballew@usm.edu</dc:creator>
  <cp:lastModifiedBy>Heather Hendrix</cp:lastModifiedBy>
  <cp:revision>2</cp:revision>
  <dcterms:created xsi:type="dcterms:W3CDTF">2015-10-27T14:26:00Z</dcterms:created>
  <dcterms:modified xsi:type="dcterms:W3CDTF">2015-10-27T14:26:00Z</dcterms:modified>
</cp:coreProperties>
</file>